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41DB8B14" w:rsidR="00C13C27" w:rsidRDefault="00EF646C">
      <w:pPr>
        <w:jc w:val="center"/>
        <w:rPr>
          <w:b/>
        </w:rPr>
      </w:pPr>
      <w:bookmarkStart w:id="0" w:name="_GoBack"/>
      <w:bookmarkEnd w:id="0"/>
      <w:r>
        <w:rPr>
          <w:b/>
        </w:rPr>
        <w:t>Outreach and Engagement Task Force Report</w:t>
      </w:r>
    </w:p>
    <w:p w14:paraId="00000002" w14:textId="77777777" w:rsidR="00C13C27" w:rsidRDefault="00C13C27"/>
    <w:p w14:paraId="00000003" w14:textId="77777777" w:rsidR="00C13C27" w:rsidRDefault="00EF646C">
      <w:pPr>
        <w:rPr>
          <w:b/>
        </w:rPr>
      </w:pPr>
      <w:r>
        <w:rPr>
          <w:b/>
        </w:rPr>
        <w:t xml:space="preserve">Introduction </w:t>
      </w:r>
    </w:p>
    <w:p w14:paraId="00000004" w14:textId="77777777" w:rsidR="00C13C27" w:rsidRDefault="00C13C27"/>
    <w:p w14:paraId="00000005" w14:textId="77777777" w:rsidR="00C13C27" w:rsidRDefault="00EF646C">
      <w:r>
        <w:t>The Outreach and Engagement Task Force (OETF) was charged by the Library’s Executive Committee (EC) to investigate and recommend a Library-wide outreach and public engagement management structure that enhances and enriches the library’s existing and future outreach and engagement capacities by providing training, informational and financial resources, and administrative assistance to benefit everyone in the Library working in this area. The OETF was also charged to develop recommendations for Library strategies and practices to enhance the public community’s, and the university’s student and faculty engagement with the Library’s collections and educational services. These recommendations grow directly from the Library’s 2019-2023 Strategic Framework which endorsed the implementation of “library outreach and engagement programs to advance community research, learning experiences, and social well-being.” (SD3.2)</w:t>
      </w:r>
    </w:p>
    <w:p w14:paraId="00000006" w14:textId="77777777" w:rsidR="00C13C27" w:rsidRDefault="00EF646C">
      <w:r>
        <w:tab/>
      </w:r>
    </w:p>
    <w:p w14:paraId="00000007" w14:textId="77777777" w:rsidR="00C13C27" w:rsidRDefault="00EF646C">
      <w:r>
        <w:t xml:space="preserve">In order to better understand the types of outreach and engagement work done by the </w:t>
      </w:r>
      <w:proofErr w:type="gramStart"/>
      <w:r>
        <w:t>Library,  the</w:t>
      </w:r>
      <w:proofErr w:type="gramEnd"/>
      <w:r>
        <w:t xml:space="preserve"> OETF implemented a survey to gather data about where individuals, and by extension library units, were investing resources in these types of activities. The task force would like to note that their work was disrupted by the COVID-19 pandemic. The state’s shelter-in-place orders and the urgent need to move library services to a digital environment may have impacted the ways some individuals answered these survey questions. In addition these orders and </w:t>
      </w:r>
      <w:proofErr w:type="gramStart"/>
      <w:r>
        <w:t>the  recent</w:t>
      </w:r>
      <w:proofErr w:type="gramEnd"/>
      <w:r>
        <w:t xml:space="preserve"> social unrest associated with the country’s continuing racial injustices played a significant role in the recommendations developed by the task force. </w:t>
      </w:r>
    </w:p>
    <w:p w14:paraId="00000008" w14:textId="77777777" w:rsidR="00C13C27" w:rsidRDefault="00C13C27"/>
    <w:p w14:paraId="00000009" w14:textId="77777777" w:rsidR="00C13C27" w:rsidRDefault="00EF646C">
      <w:r>
        <w:t>After evaluating survey responses, the OETF readily recognized that there is significant confusion among the Library’s faculty and staff about the definitions of and differences between outreach and engagement work (see Appendix 1 for the full definitions provided in the survey). This level of confusion will make it difficult for the Library as a whole to effectively organize, manage, and evaluate these types of work over time, and strongly highlights the need for unifying leadership in this area throughout the Library.</w:t>
      </w:r>
    </w:p>
    <w:p w14:paraId="0000000A" w14:textId="77777777" w:rsidR="00C13C27" w:rsidRDefault="00C13C27"/>
    <w:p w14:paraId="0000000B" w14:textId="77777777" w:rsidR="00C13C27" w:rsidRDefault="00EF646C">
      <w:r>
        <w:t xml:space="preserve">After careful reflection on the Library’s Strategic Framework, recent discussions around anti-racism work in the Library and the University’s Land Grant </w:t>
      </w:r>
      <w:proofErr w:type="spellStart"/>
      <w:r>
        <w:t>mIssion</w:t>
      </w:r>
      <w:proofErr w:type="spellEnd"/>
      <w:r>
        <w:t xml:space="preserve">, the OETF’s final report and recommendations were driven by the guiding principle that the University Library must   include all members of its community in pursuing its mission by recognizing the strengthening effects that diversity, dialogue and difference bring to our library community and our users, and ensuring that our work in the Library continually remains an engaging and inclusive process. The OETF firmly believes it is the Library’s </w:t>
      </w:r>
      <w:r>
        <w:rPr>
          <w:i/>
        </w:rPr>
        <w:t>responsibility</w:t>
      </w:r>
      <w:r>
        <w:t xml:space="preserve"> to support underrepresented and minority groups on campus and throughout our local communities. One critical way to do so is through intentional outreach and engagement work by the Library as a whole.</w:t>
      </w:r>
    </w:p>
    <w:p w14:paraId="0000000C" w14:textId="77777777" w:rsidR="00C13C27" w:rsidRDefault="00EF646C">
      <w:r>
        <w:tab/>
      </w:r>
    </w:p>
    <w:p w14:paraId="0000000D" w14:textId="77777777" w:rsidR="00C13C27" w:rsidRDefault="00EF646C">
      <w:r>
        <w:t xml:space="preserve">The following sections of this report discuss the survey results and emergent themes that grew from this information-gathering instrument, and provide significant evidence for the proposed </w:t>
      </w:r>
      <w:r>
        <w:lastRenderedPageBreak/>
        <w:t xml:space="preserve">library-wide infrastructure to promote and support a strong culture of outreach and engagement throughout the University Library. </w:t>
      </w:r>
    </w:p>
    <w:p w14:paraId="0000000E" w14:textId="77777777" w:rsidR="00C13C27" w:rsidRDefault="00C13C27"/>
    <w:p w14:paraId="0000000F" w14:textId="77777777" w:rsidR="00C13C27" w:rsidRDefault="00EF646C">
      <w:r>
        <w:rPr>
          <w:b/>
        </w:rPr>
        <w:t xml:space="preserve">Survey </w:t>
      </w:r>
    </w:p>
    <w:p w14:paraId="00000010" w14:textId="77777777" w:rsidR="00C13C27" w:rsidRDefault="00C13C27"/>
    <w:p w14:paraId="00000011" w14:textId="77777777" w:rsidR="00C13C27" w:rsidRDefault="00EF646C">
      <w:r>
        <w:t>The Library’s Outreach and Engagement survey (</w:t>
      </w:r>
      <w:hyperlink r:id="rId5">
        <w:r>
          <w:rPr>
            <w:color w:val="1155CC"/>
            <w:u w:val="single"/>
          </w:rPr>
          <w:t>see Appendix 1</w:t>
        </w:r>
      </w:hyperlink>
      <w:r>
        <w:t xml:space="preserve">) was made available online from April 28 through May 19, 2020. A </w:t>
      </w:r>
      <w:proofErr w:type="spellStart"/>
      <w:r>
        <w:t>LibNews</w:t>
      </w:r>
      <w:proofErr w:type="spellEnd"/>
      <w:r>
        <w:t xml:space="preserve"> announcement, as well as direct email invitations to 76 individual staff members who are active in outreach and engagement work throughout the Library, were sent. There were 46 completed submissions. 69% (n=31) of the submissions were contributed by Library faculty, 22% (n=10) by Library academic professionals and 9% (n=4) by Library civil service employees. Members of all divisions participated in the survey: Area Studies (n=4), Arts &amp; Humanities (n=6), Central Public Services (n=11), Life Sciences (n=5), Physical Sciences (n=3), Social Sciences (n=3), Special Collections (n=9) and Technical Services (n=3). A summary of survey results can be found in </w:t>
      </w:r>
      <w:hyperlink r:id="rId6">
        <w:r>
          <w:rPr>
            <w:color w:val="1155CC"/>
            <w:u w:val="single"/>
          </w:rPr>
          <w:t>Appendix 2</w:t>
        </w:r>
      </w:hyperlink>
      <w:r>
        <w:t xml:space="preserve">. </w:t>
      </w:r>
    </w:p>
    <w:p w14:paraId="00000012" w14:textId="77777777" w:rsidR="00C13C27" w:rsidRDefault="00C13C27"/>
    <w:p w14:paraId="00000013" w14:textId="77777777" w:rsidR="00C13C27" w:rsidRDefault="00EF646C">
      <w:pPr>
        <w:rPr>
          <w:b/>
        </w:rPr>
      </w:pPr>
      <w:r>
        <w:rPr>
          <w:b/>
        </w:rPr>
        <w:t>Discussion</w:t>
      </w:r>
    </w:p>
    <w:p w14:paraId="00000014" w14:textId="77777777" w:rsidR="00C13C27" w:rsidRDefault="00EF646C">
      <w:pPr>
        <w:spacing w:before="240"/>
        <w:rPr>
          <w:i/>
        </w:rPr>
      </w:pPr>
      <w:r>
        <w:rPr>
          <w:i/>
        </w:rPr>
        <w:t xml:space="preserve">Library Investments in Outreach and Engagement Activities </w:t>
      </w:r>
    </w:p>
    <w:p w14:paraId="00000015" w14:textId="77777777" w:rsidR="00C13C27" w:rsidRDefault="00C13C27">
      <w:pPr>
        <w:rPr>
          <w:i/>
        </w:rPr>
      </w:pPr>
    </w:p>
    <w:p w14:paraId="00000016" w14:textId="77777777" w:rsidR="00C13C27" w:rsidRDefault="00EF646C">
      <w:r>
        <w:t xml:space="preserve">Two of the survey’s questions were designed to help us understand the types of outreach and engagement activities Library employees currently pursue as part of their work responsibilities. The responses to these questions clearly revealed a lack of common understanding of what the differences are between outreach and engagement work within the Library. The survey’s 46 respondents reported 157 distinct types of outreach activities and 101 unique types of engagement activities. A more detailed breakdown of these activities is included in </w:t>
      </w:r>
      <w:hyperlink r:id="rId7">
        <w:r>
          <w:rPr>
            <w:color w:val="1155CC"/>
            <w:u w:val="single"/>
          </w:rPr>
          <w:t>Appendix</w:t>
        </w:r>
      </w:hyperlink>
      <w:hyperlink r:id="rId8">
        <w:r>
          <w:rPr>
            <w:color w:val="1155CC"/>
            <w:u w:val="single"/>
          </w:rPr>
          <w:t xml:space="preserve"> 2</w:t>
        </w:r>
      </w:hyperlink>
      <w:r>
        <w:t>, but these activities fall within the following major categories: exhibits (physical and online), speaker events (including the entire planning process, marketing, and publicity), non-speaker events (such as game nights, de-stressing activities, etc.), workshops and other instructional efforts, social media, participation in non-library events (such as festivals, orientation tabling, pop-up libraries, etc.), and tours.</w:t>
      </w:r>
    </w:p>
    <w:p w14:paraId="00000017" w14:textId="77777777" w:rsidR="00C13C27" w:rsidRDefault="00C13C27"/>
    <w:p w14:paraId="00000018" w14:textId="77777777" w:rsidR="00C13C27" w:rsidRDefault="00EF646C">
      <w:pPr>
        <w:rPr>
          <w:sz w:val="20"/>
          <w:szCs w:val="20"/>
          <w:highlight w:val="white"/>
        </w:rPr>
      </w:pPr>
      <w:r>
        <w:t xml:space="preserve">The time spent on developing these outreach and engagement activities varies. 41% (n=19) of respondents identified having outreach and engagement listed as a core part of their job description. More than half of the survey respondents from the Area Studies and the Special Collections Divisions identified having outreach and engagement as a core part of their job descriptions, showing a strong existing participation in and commitment to these activities within these divisions. 52% of respondents (n=24) reported spending less than 20% of their time per month performing outreach and engagement duties, while only 9% (n=4) reported spending more than 60% of time per month on outreach and engagement; these respondents were from the Area Studies, Central Public Services, and Special Collections Divisions. These are self-reported estimates and respondents were asked to “average”; they may vary dramatically by month or by year. </w:t>
      </w:r>
    </w:p>
    <w:p w14:paraId="00000019" w14:textId="77777777" w:rsidR="00C13C27" w:rsidRDefault="00C13C27"/>
    <w:p w14:paraId="0000001A" w14:textId="77777777" w:rsidR="00C13C27" w:rsidRDefault="00EF646C">
      <w:r>
        <w:lastRenderedPageBreak/>
        <w:t>Common funding sources reported include administrative funds (41%, n=19), donor funds (37%, n=17), and Strategic Communications and Marketing Committee (SCMC) Grant Funds (39%, n=18). The heavy use of SCMC grant funds shows the importance of marketing and publicity in outreach and engagement, as does the fact that 57% (n=26) of respondents reported needing support for graphic design.</w:t>
      </w:r>
      <w:r>
        <w:rPr>
          <w:sz w:val="20"/>
          <w:szCs w:val="20"/>
          <w:highlight w:val="white"/>
        </w:rPr>
        <w:t xml:space="preserve"> </w:t>
      </w:r>
      <w:r>
        <w:t xml:space="preserve">More notably, a third of respondents reported paying for outreach and engagement activities out of pocket (33%, n=16). Unfortunately, the survey did not ask why respondents felt they needed to pay out of pocket. While 28% of respondents (n=13) reported using only one type of funding, 65% of respondents (n=30) reported using more than one funding type. Most outreach and engagement activities reported were either no cost or under $500 (per activity). A small number of respondents reported activities that cost $5,000 to $10,000 (n=4) or more (n=2). Apart from funding, 76% of respondents (n=35) also rely on support from graduate assistants or graduate hourly employees, 57% (n=26) rely on support from other employees, and 35% (n=16) rely on support from undergraduate student employees. There is likely time being dedicated to outreach and engagement beyond what has been reported in this survey. </w:t>
      </w:r>
    </w:p>
    <w:p w14:paraId="0000001B" w14:textId="77777777" w:rsidR="00C13C27" w:rsidRDefault="00EF646C">
      <w:pPr>
        <w:spacing w:before="240" w:after="240"/>
        <w:rPr>
          <w:i/>
        </w:rPr>
      </w:pPr>
      <w:r>
        <w:rPr>
          <w:i/>
        </w:rPr>
        <w:t xml:space="preserve">Proposed Outreach and Engagement Infrastructure </w:t>
      </w:r>
    </w:p>
    <w:p w14:paraId="0000001C" w14:textId="77777777" w:rsidR="00C13C27" w:rsidRDefault="00EF646C">
      <w:pPr>
        <w:spacing w:before="240" w:after="240"/>
      </w:pPr>
      <w:r>
        <w:t xml:space="preserve">An ideal scenario for an infrastructure to support outreach and engagement activities would include a new staffing model with a permanent, full-time position to provide leadership and develop a comprehensive outreach and engagement plan. The preference of the OETF would have been to create a new position in line with positions being created at other institutions to support outreach and engagement. The OETF strongly recommends that EC revisit the issue of funding a position in the future, but in light of budget realities brought on by the COVID-19 global pandemic, the task force is proactively proposing a model that would not require funding a new position in the near term. Therefore, the task force is proposing the formation of a permanent Outreach and Engagement Committee (OEC) to provide leadership in these areas. </w:t>
      </w:r>
    </w:p>
    <w:p w14:paraId="0000001D" w14:textId="77777777" w:rsidR="00C13C27" w:rsidRDefault="00EF646C">
      <w:pPr>
        <w:spacing w:before="240" w:after="240"/>
      </w:pPr>
      <w:r>
        <w:t>The OEC charge would include ongoing tasks to support the development of a culture of engagement and outreach across the Library. The charge may include the following:</w:t>
      </w:r>
    </w:p>
    <w:p w14:paraId="0000001E" w14:textId="77777777" w:rsidR="00C13C27" w:rsidRDefault="00EF646C">
      <w:pPr>
        <w:numPr>
          <w:ilvl w:val="0"/>
          <w:numId w:val="1"/>
        </w:numPr>
        <w:spacing w:before="240"/>
      </w:pPr>
      <w:r>
        <w:t>Develop clear definitions of outreach and engagement to be adopted by the Library in order to better assess individual and collective efforts in these areas</w:t>
      </w:r>
    </w:p>
    <w:p w14:paraId="0000001F" w14:textId="77777777" w:rsidR="00C13C27" w:rsidRDefault="00EF646C">
      <w:pPr>
        <w:numPr>
          <w:ilvl w:val="0"/>
          <w:numId w:val="1"/>
        </w:numPr>
      </w:pPr>
      <w:r>
        <w:t>Promote intentional implementation of activities that balance outreach and engagement goals and in particular increase engagement outputs in order to fulfill a land grant mission</w:t>
      </w:r>
    </w:p>
    <w:p w14:paraId="00000020" w14:textId="77777777" w:rsidR="00C13C27" w:rsidRDefault="00EF646C">
      <w:pPr>
        <w:numPr>
          <w:ilvl w:val="0"/>
          <w:numId w:val="1"/>
        </w:numPr>
      </w:pPr>
      <w:r>
        <w:t xml:space="preserve">Provide leadership about best practices in outreach and engagement and communicate these to the Library </w:t>
      </w:r>
    </w:p>
    <w:p w14:paraId="00000021" w14:textId="77777777" w:rsidR="00C13C27" w:rsidRDefault="00EF646C">
      <w:pPr>
        <w:numPr>
          <w:ilvl w:val="0"/>
          <w:numId w:val="1"/>
        </w:numPr>
      </w:pPr>
      <w:r>
        <w:t>Manage a library-funded grant program to allocate funds for outreach and engagement activities</w:t>
      </w:r>
    </w:p>
    <w:p w14:paraId="00000022" w14:textId="77777777" w:rsidR="00C13C27" w:rsidRDefault="00EF646C">
      <w:pPr>
        <w:numPr>
          <w:ilvl w:val="0"/>
          <w:numId w:val="1"/>
        </w:numPr>
      </w:pPr>
      <w:r>
        <w:t xml:space="preserve">Provide support and information resources for outreach and engagement activities such as training opportunities, and a central hub for information about relevant policies and best practices in outreach and engagement </w:t>
      </w:r>
    </w:p>
    <w:p w14:paraId="00000023" w14:textId="77777777" w:rsidR="00C13C27" w:rsidRDefault="00EF646C">
      <w:pPr>
        <w:numPr>
          <w:ilvl w:val="0"/>
          <w:numId w:val="1"/>
        </w:numPr>
        <w:spacing w:after="240"/>
      </w:pPr>
      <w:r>
        <w:t>Facilitate regular assessment of outreach and engagement activities in the Library</w:t>
      </w:r>
    </w:p>
    <w:p w14:paraId="00000024" w14:textId="77777777" w:rsidR="00C13C27" w:rsidRDefault="00EF646C">
      <w:pPr>
        <w:spacing w:before="240" w:after="240"/>
      </w:pPr>
      <w:r>
        <w:lastRenderedPageBreak/>
        <w:t xml:space="preserve">The OEC should be composed of individuals (including faculty, academic professionals, and civil service staff) from each Library Division whose members are actively involved in outreach and engagement activities. Additional members may be appointed to represent special concerns. Members are appointed by EC and serve three-year staggered terms with possible reappointment for an additional term. The chair will be a rotating position, elected by the committee itself and serve a two-year term, with the possibility of reelection for one additional two-year term. </w:t>
      </w:r>
    </w:p>
    <w:p w14:paraId="00000025" w14:textId="77777777" w:rsidR="00C13C27" w:rsidRDefault="00EF646C">
      <w:pPr>
        <w:spacing w:before="240" w:after="240"/>
      </w:pPr>
      <w:r>
        <w:t>Minutes of the OEC will be posted to the committee page on the Library’s website. The OEC will also communicate and consult in other ways deemed appropriate.</w:t>
      </w:r>
    </w:p>
    <w:p w14:paraId="00000026" w14:textId="77777777" w:rsidR="00C13C27" w:rsidRDefault="00EF646C">
      <w:pPr>
        <w:spacing w:before="240" w:after="240"/>
      </w:pPr>
      <w:r>
        <w:t xml:space="preserve">Please see the section on “Funding Models” below for more information about the proposed Library-funded grant program that would be managed by this committee. The proposed funding model will be equitable, sustainable, and supportive of fostering a culture of outreach and engagement in the Library. </w:t>
      </w:r>
    </w:p>
    <w:p w14:paraId="00000027" w14:textId="77777777" w:rsidR="00C13C27" w:rsidRDefault="00EF646C">
      <w:pPr>
        <w:spacing w:before="240" w:after="240" w:line="252" w:lineRule="auto"/>
        <w:rPr>
          <w:i/>
        </w:rPr>
      </w:pPr>
      <w:r>
        <w:rPr>
          <w:i/>
        </w:rPr>
        <w:t xml:space="preserve">Models from Other Campus and Community Organizations </w:t>
      </w:r>
    </w:p>
    <w:p w14:paraId="00000028" w14:textId="77777777" w:rsidR="00C13C27" w:rsidRDefault="00EF646C">
      <w:pPr>
        <w:spacing w:before="240" w:after="240" w:line="240" w:lineRule="auto"/>
      </w:pPr>
      <w:r>
        <w:t>Survey respondents described partnering with numerous internal and external organizations (Q8). The majority of respondents described partnerships with organizations internal to the University, and in many cases within the library system. Organizations mentioned several times include the School of Information Sciences (</w:t>
      </w:r>
      <w:proofErr w:type="spellStart"/>
      <w:r>
        <w:t>iSchool</w:t>
      </w:r>
      <w:proofErr w:type="spellEnd"/>
      <w:r>
        <w:t xml:space="preserve">), the Humanities Research Institute (formerly IPRH), campus museums, and the Center for Innovation in Teaching and Learning (CITL). A few respondents described partnerships with organizations external to the University, such as local public libraries and professional organizations. However, the nature of these partnerships was not described, and so it is unclear if external contributions included funding, expertise, staffing, marketing, or other resources. </w:t>
      </w:r>
    </w:p>
    <w:p w14:paraId="00000029" w14:textId="77777777" w:rsidR="00C13C27" w:rsidRDefault="00EF646C">
      <w:pPr>
        <w:spacing w:before="240" w:after="240" w:line="240" w:lineRule="auto"/>
      </w:pPr>
      <w:r>
        <w:t xml:space="preserve">Libraries are natural partners with both internal and external organizations, as they are generally discipline-agnostic central gathering places that serve to advance the mission and values of their university or community. Partnerships and collaborations are sought to ensure strategic goals are met, broaden expertise and perspective, access a larger audience, and combine resources such as marketing, funding, and staff. However, partnerships can be as challenging as they are beneficial; challenges include differing expectations, communication issues, and a limited ability to hold partners accountable. Partnerships are important for outreach, but are essential for engagement efforts that require true collaboration in order to respond to and anticipate community needs effectively. </w:t>
      </w:r>
    </w:p>
    <w:p w14:paraId="0000002A" w14:textId="77777777" w:rsidR="00C13C27" w:rsidRDefault="00EF646C">
      <w:pPr>
        <w:spacing w:before="240" w:after="240" w:line="240" w:lineRule="auto"/>
      </w:pPr>
      <w:r>
        <w:t xml:space="preserve">Models for outreach and engagement exist at an institutional, unit, and individual level. Institutionally, many colleges and universities have a centralized office of public engagement that coordinates campus wide activities, facilitates training, awards funding, and provides mentorship opportunities. A notable example is the University of Minnesota’s Office of Public Engagement.  Public engagement and outreach at an individual level is perhaps the most common model, as evidenced by the survey respondents as well as the Association of Research Libraries (ARL) SPEC Kit 361: Outreach and Engagement (2018) summary. However, this model is unsustainable as it leaves each individual to fend for themselves. At a unit level, the Office of Extension at the University of Illinois, and many other land-grant colleges, offers a clear example of unit supported outreach and public engagement efforts. Designed specifically as the flagship outreach arm of the University of Illinois, Extension offers </w:t>
      </w:r>
      <w:r>
        <w:lastRenderedPageBreak/>
        <w:t xml:space="preserve">numerous programs and grants to connect with the Illinois community. Moreover, the Extension &amp; Public Engagement Connection Center (EPCC) offers a portal for the University of Illinois community to connect with Extension for public-impact focused scholarship. This centralized office manages networking, funding, and training opportunities for U of I faculty and staff to get involved in Extension-related outreach and engagement opportunities. An outreach and engagement committee at the University Library could function in a similar role as EPCC, though on a smaller scale to fit the needs of the Library community. </w:t>
      </w:r>
    </w:p>
    <w:p w14:paraId="0000002B" w14:textId="77777777" w:rsidR="00C13C27" w:rsidRDefault="00EF646C">
      <w:pPr>
        <w:spacing w:before="240" w:after="240" w:line="240" w:lineRule="auto"/>
      </w:pPr>
      <w:r>
        <w:t xml:space="preserve">At very large institutions such as the University of Illinois, opportunities for partnerships with other campus units or community organizations are numerous, but can be hard to find due to the grassroots, individually-driven nature of engagement and outreach. The </w:t>
      </w:r>
      <w:proofErr w:type="spellStart"/>
      <w:r>
        <w:t>GivePulse</w:t>
      </w:r>
      <w:proofErr w:type="spellEnd"/>
      <w:r>
        <w:t xml:space="preserve"> platform for volunteer matching, which the U of I has invested in and is expected to launch at the end of the year, may provide insight about campus opportunities and enable the Library to become involved in established programs. Opportunities for partnerships may also initiate through available grant funding, such as </w:t>
      </w:r>
      <w:hyperlink r:id="rId9">
        <w:r>
          <w:rPr>
            <w:color w:val="1155CC"/>
            <w:u w:val="single"/>
          </w:rPr>
          <w:t xml:space="preserve">CO+RE: The Community + Research Partnership Program </w:t>
        </w:r>
      </w:hyperlink>
      <w:r>
        <w:t xml:space="preserve">through the Office of the Vice Chancellor for Research and Innovation, </w:t>
      </w:r>
      <w:hyperlink r:id="rId10">
        <w:r>
          <w:rPr>
            <w:color w:val="1155CC"/>
            <w:u w:val="single"/>
          </w:rPr>
          <w:t>Interdisciplinary Collaboration Extension (ICE)</w:t>
        </w:r>
      </w:hyperlink>
      <w:r>
        <w:t xml:space="preserve"> grants through Extension and </w:t>
      </w:r>
      <w:hyperlink r:id="rId11">
        <w:r>
          <w:rPr>
            <w:color w:val="1155CC"/>
            <w:u w:val="single"/>
          </w:rPr>
          <w:t>Student Sustainability Committee</w:t>
        </w:r>
      </w:hyperlink>
      <w:r>
        <w:t xml:space="preserve"> grants. </w:t>
      </w:r>
    </w:p>
    <w:p w14:paraId="0000002C" w14:textId="77777777" w:rsidR="00C13C27" w:rsidRDefault="00EF646C">
      <w:pPr>
        <w:spacing w:before="240" w:after="240" w:line="240" w:lineRule="auto"/>
      </w:pPr>
      <w:r>
        <w:t xml:space="preserve">The proposed OEC will act as a central hub for the Library to receive information about outreach and engagement activities, which may include funding and networking opportunities, as well as resources about establishing successful partnerships. </w:t>
      </w:r>
    </w:p>
    <w:p w14:paraId="0000002D" w14:textId="77777777" w:rsidR="00C13C27" w:rsidRDefault="00EF646C">
      <w:pPr>
        <w:spacing w:before="240" w:after="240" w:line="252" w:lineRule="auto"/>
        <w:rPr>
          <w:i/>
        </w:rPr>
      </w:pPr>
      <w:r>
        <w:rPr>
          <w:i/>
        </w:rPr>
        <w:t>Mechanisms for Sharing Best Practices</w:t>
      </w:r>
    </w:p>
    <w:p w14:paraId="0000002E" w14:textId="77777777" w:rsidR="00C13C27" w:rsidRDefault="00EF646C">
      <w:pPr>
        <w:spacing w:before="240" w:after="240" w:line="252" w:lineRule="auto"/>
      </w:pPr>
      <w:r>
        <w:t xml:space="preserve">There is a Library listserv, </w:t>
      </w:r>
      <w:hyperlink r:id="rId12">
        <w:r>
          <w:rPr>
            <w:color w:val="1155CC"/>
            <w:u w:val="single"/>
          </w:rPr>
          <w:t>libengage@lists.illinois.edu</w:t>
        </w:r>
      </w:hyperlink>
      <w:r>
        <w:t>, which could be utilized to share best practices internally across the University Library. Currently, there are 38 subscribers, however, with some promotion, this number could increase significantly. Content must be pushed out on a regular basis and could be facilitated by the OEC for the most part.</w:t>
      </w:r>
    </w:p>
    <w:p w14:paraId="0000002F" w14:textId="77777777" w:rsidR="00C13C27" w:rsidRDefault="00EF646C">
      <w:pPr>
        <w:spacing w:before="240" w:after="240" w:line="252" w:lineRule="auto"/>
      </w:pPr>
      <w:r>
        <w:t xml:space="preserve">The OEC committee web page, once created, could include a section dedicated to best practices. This could include resources such as white papers, informal case studies, etc. This committee page could also be the home for an outreach and engagement toolkit which would include information on best practices, relevant campus and library policies, and other resources. </w:t>
      </w:r>
    </w:p>
    <w:p w14:paraId="00000030" w14:textId="77777777" w:rsidR="00C13C27" w:rsidRDefault="00EF646C">
      <w:pPr>
        <w:spacing w:before="240" w:after="240" w:line="252" w:lineRule="auto"/>
      </w:pPr>
      <w:r>
        <w:t xml:space="preserve">A series of brown bags could be hosted by the OEC where Library employees interested in these topics attend over a lunch hour. The premise could be hearing about a case study at another institution or internal Library experience and then having a discussion about it afterward. Attendees could talk about lessons learned and ways to improve. </w:t>
      </w:r>
    </w:p>
    <w:p w14:paraId="00000031" w14:textId="77777777" w:rsidR="00C13C27" w:rsidRDefault="00EF646C">
      <w:pPr>
        <w:spacing w:after="240"/>
        <w:rPr>
          <w:i/>
        </w:rPr>
      </w:pPr>
      <w:r>
        <w:rPr>
          <w:i/>
        </w:rPr>
        <w:t xml:space="preserve">Funding Models </w:t>
      </w:r>
    </w:p>
    <w:p w14:paraId="00000032" w14:textId="77777777" w:rsidR="00C13C27" w:rsidRDefault="00EF646C">
      <w:r>
        <w:t xml:space="preserve">The work of both outreach and engagement serves to enhance the University Library’s land grant mission through the development of new and the sustaining of existing educational collaborations with individuals, communities, and organizations inside and outside of the state of Illinois. The funding necessary to initiate and sustain this critical work across all of the Library’s departments requires a financial management model that is flexible and cooperatively shares either financially or through other library staffing resources the costs of producing these outreach and engagement programs between the department producing this programming, </w:t>
      </w:r>
      <w:r>
        <w:lastRenderedPageBreak/>
        <w:t xml:space="preserve">private donors, and the University Library. The funding used to support departmental resources for these programs must come from a new Library current-use fund for outreach and engagement provided by the Dean’s Office annually to be managed by the proposed OEC. Similar to the Research and Publications Committee, Strategic Communications and Marketing Committee, and the Library Assessment Committee, the OEC would review applications for funding to support outreach and engagement initiatives. In addition, Library administration should consider opportunities for the future development of a new outreach and engagement endowment, funded through private gifts, to supplement the Library’s new current-use funding for these Library-wide initiatives. </w:t>
      </w:r>
    </w:p>
    <w:p w14:paraId="00000033" w14:textId="77777777" w:rsidR="00C13C27" w:rsidRDefault="00EF646C">
      <w:pPr>
        <w:spacing w:before="240"/>
      </w:pPr>
      <w:r>
        <w:t xml:space="preserve">While the financial support of these Library outreach and engagement initiatives is critical for their future success, the Library administration’s annual recognition of outstanding outreach and engagement work within the Library is also essential. In addition to the Library administration’s financial support of this work through a specialized current-use fund, a $1,000 recognition award should be established and funded through the Dean’s Office. Each year, this recognition award will recognize a faculty or staff member and their associated department for their outstanding work in outreach and public engagement. This award should be given at the annual staff reception, and the award’s funding should be used exclusively to support the awardee and their department’s future outreach and engagement work. The Library’s Awards and Recognition Committee will also work with the awardee to submit an outreach and engagement award nomination for the </w:t>
      </w:r>
      <w:hyperlink r:id="rId13">
        <w:r>
          <w:rPr>
            <w:color w:val="1155CC"/>
            <w:u w:val="single"/>
          </w:rPr>
          <w:t>University’s annual campus-level CAEPE Award</w:t>
        </w:r>
      </w:hyperlink>
      <w:r>
        <w:t xml:space="preserve">. </w:t>
      </w:r>
    </w:p>
    <w:p w14:paraId="00000034" w14:textId="77777777" w:rsidR="00C13C27" w:rsidRDefault="00C13C27">
      <w:pPr>
        <w:spacing w:before="240"/>
      </w:pPr>
    </w:p>
    <w:p w14:paraId="00000035" w14:textId="77777777" w:rsidR="00C13C27" w:rsidRDefault="00EF646C">
      <w:pPr>
        <w:rPr>
          <w:b/>
        </w:rPr>
      </w:pPr>
      <w:r>
        <w:rPr>
          <w:b/>
        </w:rPr>
        <w:t xml:space="preserve">Conclusion </w:t>
      </w:r>
    </w:p>
    <w:p w14:paraId="00000036" w14:textId="77777777" w:rsidR="00C13C27" w:rsidRDefault="00C13C27">
      <w:pPr>
        <w:rPr>
          <w:b/>
        </w:rPr>
      </w:pPr>
    </w:p>
    <w:p w14:paraId="00000037" w14:textId="77777777" w:rsidR="00C13C27" w:rsidRDefault="00EF646C">
      <w:r>
        <w:t xml:space="preserve">The OETF strongly urges EC to implement the following recommendations: </w:t>
      </w:r>
    </w:p>
    <w:p w14:paraId="00000038" w14:textId="77777777" w:rsidR="00C13C27" w:rsidRDefault="00C13C27"/>
    <w:p w14:paraId="00000039" w14:textId="77777777" w:rsidR="00C13C27" w:rsidRDefault="00EF646C">
      <w:r>
        <w:t xml:space="preserve">1) Charge a standing Outreach and Engagement Committee within the Library. </w:t>
      </w:r>
    </w:p>
    <w:p w14:paraId="0000003A" w14:textId="77777777" w:rsidR="00C13C27" w:rsidRDefault="00EF646C">
      <w:r>
        <w:t xml:space="preserve">2) Establish a current-use fund to be managed by the committee.  </w:t>
      </w:r>
    </w:p>
    <w:p w14:paraId="0000003B" w14:textId="77777777" w:rsidR="00C13C27" w:rsidRDefault="00EF646C">
      <w:r>
        <w:t xml:space="preserve">3) Establish an annual recognition award for outstanding work in Library outreach and public engagement. </w:t>
      </w:r>
    </w:p>
    <w:p w14:paraId="0000003C" w14:textId="77777777" w:rsidR="00C13C27" w:rsidRDefault="00C13C27"/>
    <w:p w14:paraId="0000003D" w14:textId="77777777" w:rsidR="00C13C27" w:rsidRDefault="00EF646C">
      <w:r>
        <w:t xml:space="preserve">These evidence-based recommendations are the logical route for the Library to follow in order to balance current budget realities against a significant need to fulfill the Library’s strategic framework objectives and promote an effective culture of outreach and engagement that is equitable and distributed evenly throughout the Library. When the budget impacts from COVID-19 are stabilized, the OETF encourages EC, with support from the proposed OEC, to revisit the possibility of creating a permanent position to provide leadership in the areas of outreach and engagement. </w:t>
      </w:r>
    </w:p>
    <w:p w14:paraId="0000003E" w14:textId="77777777" w:rsidR="00C13C27" w:rsidRDefault="00C13C27"/>
    <w:p w14:paraId="0000003F" w14:textId="77777777" w:rsidR="00C13C27" w:rsidRDefault="00EF646C">
      <w:pPr>
        <w:rPr>
          <w:b/>
        </w:rPr>
      </w:pPr>
      <w:r>
        <w:rPr>
          <w:b/>
        </w:rPr>
        <w:t>Appendices</w:t>
      </w:r>
    </w:p>
    <w:p w14:paraId="00000040" w14:textId="77777777" w:rsidR="00C13C27" w:rsidRDefault="00CD70AB">
      <w:hyperlink r:id="rId14">
        <w:r w:rsidR="00EF646C">
          <w:rPr>
            <w:color w:val="1155CC"/>
            <w:u w:val="single"/>
          </w:rPr>
          <w:t>Appendix 1: Outreach and Engagement Study Survey Questionnaire</w:t>
        </w:r>
      </w:hyperlink>
    </w:p>
    <w:p w14:paraId="00000041" w14:textId="77777777" w:rsidR="00C13C27" w:rsidRDefault="00CD70AB">
      <w:hyperlink r:id="rId15">
        <w:r w:rsidR="00EF646C">
          <w:rPr>
            <w:color w:val="1155CC"/>
            <w:u w:val="single"/>
          </w:rPr>
          <w:t>Appendix 2: Outreach and Engagement Study Survey Results</w:t>
        </w:r>
      </w:hyperlink>
    </w:p>
    <w:p w14:paraId="00000042" w14:textId="77777777" w:rsidR="00C13C27" w:rsidRDefault="00C13C27"/>
    <w:p w14:paraId="00000043" w14:textId="77777777" w:rsidR="00C13C27" w:rsidRDefault="00EF646C">
      <w:pPr>
        <w:rPr>
          <w:b/>
        </w:rPr>
      </w:pPr>
      <w:r>
        <w:rPr>
          <w:b/>
        </w:rPr>
        <w:t xml:space="preserve">Respectfully submitted on July 14, 2020 by: </w:t>
      </w:r>
    </w:p>
    <w:p w14:paraId="00000044" w14:textId="77777777" w:rsidR="00C13C27" w:rsidRDefault="00EF646C">
      <w:r>
        <w:lastRenderedPageBreak/>
        <w:t>Mara Thacker</w:t>
      </w:r>
    </w:p>
    <w:p w14:paraId="00000045" w14:textId="77777777" w:rsidR="00C13C27" w:rsidRDefault="00EF646C">
      <w:r>
        <w:t>Jen-chien Yu</w:t>
      </w:r>
    </w:p>
    <w:p w14:paraId="00000046" w14:textId="77777777" w:rsidR="00C13C27" w:rsidRDefault="00EF646C">
      <w:r>
        <w:t>Kate Lambaria</w:t>
      </w:r>
    </w:p>
    <w:p w14:paraId="00000047" w14:textId="77777777" w:rsidR="00C13C27" w:rsidRDefault="00EF646C">
      <w:r>
        <w:t>Heather Murphy</w:t>
      </w:r>
    </w:p>
    <w:p w14:paraId="00000048" w14:textId="77777777" w:rsidR="00C13C27" w:rsidRDefault="00EF646C">
      <w:r>
        <w:t xml:space="preserve">Sarah Christensen </w:t>
      </w:r>
    </w:p>
    <w:p w14:paraId="00000049" w14:textId="77777777" w:rsidR="00C13C27" w:rsidRDefault="00EF646C">
      <w:r>
        <w:t>Hannah Brauer</w:t>
      </w:r>
    </w:p>
    <w:p w14:paraId="0000004A" w14:textId="77777777" w:rsidR="00C13C27" w:rsidRDefault="00EF646C">
      <w:r>
        <w:t xml:space="preserve">Christie Wiley </w:t>
      </w:r>
    </w:p>
    <w:p w14:paraId="0000004B" w14:textId="77777777" w:rsidR="00C13C27" w:rsidRDefault="00EF646C">
      <w:r>
        <w:t>Scott Schwartz</w:t>
      </w:r>
    </w:p>
    <w:p w14:paraId="0000004C" w14:textId="77777777" w:rsidR="00C13C27" w:rsidRDefault="00EF646C">
      <w:r>
        <w:t>John Laskowski</w:t>
      </w:r>
    </w:p>
    <w:p w14:paraId="0000004D" w14:textId="77777777" w:rsidR="00C13C27" w:rsidRDefault="00EF646C">
      <w:r>
        <w:t>Janis Shearer</w:t>
      </w:r>
    </w:p>
    <w:sectPr w:rsidR="00C13C2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3C1CBD"/>
    <w:multiLevelType w:val="multilevel"/>
    <w:tmpl w:val="54FA7C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C27"/>
    <w:rsid w:val="003D1D04"/>
    <w:rsid w:val="00B911E4"/>
    <w:rsid w:val="00C13C27"/>
    <w:rsid w:val="00CD70AB"/>
    <w:rsid w:val="00EF6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01AA8"/>
  <w15:docId w15:val="{A2DD5AAC-4BB5-49F5-B223-CF6AFAF7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uofi.box.com/s/fcb74cmeaewh5ua34qc6bag7jn69tf6s" TargetMode="External"/><Relationship Id="rId13" Type="http://schemas.openxmlformats.org/officeDocument/2006/relationships/hyperlink" Target="https://provost.illinois.edu/awards/campus-awards-honors/campus-awards-for-excellence-in-public-engagement/" TargetMode="External"/><Relationship Id="rId3" Type="http://schemas.openxmlformats.org/officeDocument/2006/relationships/settings" Target="settings.xml"/><Relationship Id="rId7" Type="http://schemas.openxmlformats.org/officeDocument/2006/relationships/hyperlink" Target="https://uofi.box.com/s/fcb74cmeaewh5ua34qc6bag7jn69tf6s" TargetMode="External"/><Relationship Id="rId12" Type="http://schemas.openxmlformats.org/officeDocument/2006/relationships/hyperlink" Target="mailto:libengage@lists.illinois.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ofi.box.com/s/fcb74cmeaewh5ua34qc6bag7jn69tf6s" TargetMode="External"/><Relationship Id="rId11" Type="http://schemas.openxmlformats.org/officeDocument/2006/relationships/hyperlink" Target="https://ssc.sustainability.illinois.edu/" TargetMode="External"/><Relationship Id="rId5" Type="http://schemas.openxmlformats.org/officeDocument/2006/relationships/hyperlink" Target="https://uofi.box.com/s/g56usfgu65nwl0mpq99hptu11gmbwa5o" TargetMode="External"/><Relationship Id="rId15" Type="http://schemas.openxmlformats.org/officeDocument/2006/relationships/hyperlink" Target="https://uofi.box.com/s/fcb74cmeaewh5ua34qc6bag7jn69tf6s" TargetMode="External"/><Relationship Id="rId10" Type="http://schemas.openxmlformats.org/officeDocument/2006/relationships/hyperlink" Target="https://extension.illinois.edu/global/extension-funded-research-projects" TargetMode="External"/><Relationship Id="rId4" Type="http://schemas.openxmlformats.org/officeDocument/2006/relationships/webSettings" Target="webSettings.xml"/><Relationship Id="rId9" Type="http://schemas.openxmlformats.org/officeDocument/2006/relationships/hyperlink" Target="https://specialprograms.research.illinois.edu/Program.aspx?ProgramGuid=C45FFC1E-968F-4D23-A410-5A0F5A222EEA" TargetMode="External"/><Relationship Id="rId14" Type="http://schemas.openxmlformats.org/officeDocument/2006/relationships/hyperlink" Target="https://uofi.box.com/s/g56usfgu65nwl0mpq99hptu11gmbwa5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3041</Words>
  <Characters>17339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Thacker, Mara</dc:creator>
  <cp:lastModifiedBy>Strommer, Shelby A</cp:lastModifiedBy>
  <cp:revision>2</cp:revision>
  <dcterms:created xsi:type="dcterms:W3CDTF">2020-10-26T19:55:00Z</dcterms:created>
  <dcterms:modified xsi:type="dcterms:W3CDTF">2020-10-26T19:55:00Z</dcterms:modified>
</cp:coreProperties>
</file>