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49F8CF" w14:textId="77777777" w:rsidR="00573ACF" w:rsidRDefault="00573ACF" w:rsidP="00573ACF">
      <w:pPr>
        <w:pStyle w:val="Heading3"/>
      </w:pPr>
      <w:r>
        <w:t>Minutes</w:t>
      </w:r>
    </w:p>
    <w:p w14:paraId="32DB0D71" w14:textId="77777777" w:rsidR="00573ACF" w:rsidRDefault="00573ACF" w:rsidP="00573ACF">
      <w:pPr>
        <w:pStyle w:val="NormalWeb"/>
      </w:pPr>
      <w:r>
        <w:rPr>
          <w:rStyle w:val="Strong"/>
        </w:rPr>
        <w:t>Area Studies Division Meeting</w:t>
      </w:r>
    </w:p>
    <w:p w14:paraId="189F85A4" w14:textId="77777777" w:rsidR="00573ACF" w:rsidRDefault="00573ACF" w:rsidP="00573ACF">
      <w:pPr>
        <w:pStyle w:val="NormalWeb"/>
      </w:pPr>
      <w:r>
        <w:rPr>
          <w:rStyle w:val="Strong"/>
        </w:rPr>
        <w:t> </w:t>
      </w:r>
    </w:p>
    <w:p w14:paraId="3AD69309" w14:textId="77777777" w:rsidR="00573ACF" w:rsidRDefault="00573ACF" w:rsidP="00573ACF">
      <w:pPr>
        <w:pStyle w:val="NormalWeb"/>
      </w:pPr>
      <w:r>
        <w:rPr>
          <w:rStyle w:val="Strong"/>
        </w:rPr>
        <w:t>14 April 2022</w:t>
      </w:r>
    </w:p>
    <w:p w14:paraId="54D38B6C" w14:textId="77777777" w:rsidR="00573ACF" w:rsidRDefault="00573ACF" w:rsidP="00573ACF">
      <w:pPr>
        <w:pStyle w:val="NormalWeb"/>
      </w:pPr>
      <w:r>
        <w:rPr>
          <w:rStyle w:val="Strong"/>
        </w:rPr>
        <w:t> </w:t>
      </w:r>
    </w:p>
    <w:p w14:paraId="52988F31" w14:textId="77777777" w:rsidR="00573ACF" w:rsidRDefault="00573ACF" w:rsidP="00573ACF">
      <w:pPr>
        <w:pStyle w:val="NormalWeb"/>
      </w:pPr>
      <w:r>
        <w:rPr>
          <w:rStyle w:val="Strong"/>
        </w:rPr>
        <w:t>11:15 am</w:t>
      </w:r>
    </w:p>
    <w:p w14:paraId="41BA264A" w14:textId="77777777" w:rsidR="00573ACF" w:rsidRDefault="00573ACF" w:rsidP="00573ACF">
      <w:pPr>
        <w:pStyle w:val="NormalWeb"/>
      </w:pPr>
      <w:r>
        <w:rPr>
          <w:rStyle w:val="Strong"/>
        </w:rPr>
        <w:t> </w:t>
      </w:r>
    </w:p>
    <w:p w14:paraId="1D5BB668" w14:textId="77777777" w:rsidR="00573ACF" w:rsidRDefault="00573ACF" w:rsidP="00573ACF">
      <w:pPr>
        <w:pStyle w:val="NormalWeb"/>
      </w:pPr>
      <w:r>
        <w:rPr>
          <w:rStyle w:val="Strong"/>
        </w:rPr>
        <w:t xml:space="preserve">Present:  </w:t>
      </w:r>
      <w:r>
        <w:t xml:space="preserve">Mara Thacker, </w:t>
      </w:r>
      <w:proofErr w:type="spellStart"/>
      <w:r>
        <w:t>Atoma</w:t>
      </w:r>
      <w:proofErr w:type="spellEnd"/>
      <w:r>
        <w:t xml:space="preserve"> </w:t>
      </w:r>
      <w:proofErr w:type="spellStart"/>
      <w:r>
        <w:t>Batoma</w:t>
      </w:r>
      <w:proofErr w:type="spellEnd"/>
      <w:r>
        <w:t xml:space="preserve">, Bob Geraci, Jan Adamczyk, Katie Ebeling, Kit </w:t>
      </w:r>
      <w:proofErr w:type="spellStart"/>
      <w:r>
        <w:t>Condill</w:t>
      </w:r>
      <w:proofErr w:type="spellEnd"/>
      <w:r>
        <w:t xml:space="preserve">, Joe </w:t>
      </w:r>
      <w:proofErr w:type="spellStart"/>
      <w:r>
        <w:t>Lenkart</w:t>
      </w:r>
      <w:proofErr w:type="spellEnd"/>
      <w:r>
        <w:t>, Antonio Sotomayor, Clara Chu – Guest:  George Gottschalk</w:t>
      </w:r>
      <w:r>
        <w:rPr>
          <w:rStyle w:val="Strong"/>
        </w:rPr>
        <w:t> </w:t>
      </w:r>
    </w:p>
    <w:p w14:paraId="62717F3B" w14:textId="77777777" w:rsidR="00573ACF" w:rsidRDefault="00573ACF" w:rsidP="00573ACF">
      <w:pPr>
        <w:numPr>
          <w:ilvl w:val="0"/>
          <w:numId w:val="2"/>
        </w:numPr>
        <w:spacing w:before="100" w:beforeAutospacing="1" w:after="100" w:afterAutospacing="1" w:line="240" w:lineRule="auto"/>
      </w:pPr>
      <w:r>
        <w:rPr>
          <w:rStyle w:val="Strong"/>
        </w:rPr>
        <w:t>Announcements &amp; Accolades</w:t>
      </w:r>
    </w:p>
    <w:p w14:paraId="372AF744" w14:textId="77777777" w:rsidR="00573ACF" w:rsidRDefault="00573ACF" w:rsidP="00573ACF">
      <w:pPr>
        <w:pStyle w:val="NormalWeb"/>
      </w:pPr>
      <w:r>
        <w:t xml:space="preserve">Bob will re-send his Hathi Trust questionnaire to </w:t>
      </w:r>
      <w:proofErr w:type="gramStart"/>
      <w:r>
        <w:t>ASD, and</w:t>
      </w:r>
      <w:proofErr w:type="gramEnd"/>
      <w:r>
        <w:t xml:space="preserve"> asks that people please fill it out by 5/14.</w:t>
      </w:r>
    </w:p>
    <w:p w14:paraId="065CB6B6" w14:textId="77777777" w:rsidR="00573ACF" w:rsidRDefault="00573ACF" w:rsidP="00573ACF">
      <w:pPr>
        <w:pStyle w:val="NormalWeb"/>
      </w:pPr>
      <w:r>
        <w:t>Kit will re-send his e-mail about revising our FY23 plans now that the budget will no longer be flat (we are now planning for a 1.4% reduction instead of 3.5%).</w:t>
      </w:r>
      <w:r>
        <w:rPr>
          <w:rStyle w:val="Strong"/>
        </w:rPr>
        <w:t> </w:t>
      </w:r>
    </w:p>
    <w:p w14:paraId="2DDA10C7" w14:textId="77777777" w:rsidR="00573ACF" w:rsidRDefault="00573ACF" w:rsidP="00573ACF">
      <w:pPr>
        <w:numPr>
          <w:ilvl w:val="0"/>
          <w:numId w:val="3"/>
        </w:numPr>
        <w:spacing w:before="100" w:beforeAutospacing="1" w:after="100" w:afterAutospacing="1" w:line="240" w:lineRule="auto"/>
      </w:pPr>
      <w:r>
        <w:rPr>
          <w:rStyle w:val="Strong"/>
        </w:rPr>
        <w:t>Sign up for Note Taking </w:t>
      </w:r>
    </w:p>
    <w:p w14:paraId="21C25FA9" w14:textId="77777777" w:rsidR="00573ACF" w:rsidRDefault="00573ACF" w:rsidP="00573ACF">
      <w:pPr>
        <w:pStyle w:val="NormalWeb"/>
      </w:pPr>
      <w:r>
        <w:rPr>
          <w:rStyle w:val="Strong"/>
        </w:rPr>
        <w:t xml:space="preserve">            </w:t>
      </w:r>
      <w:r>
        <w:t>Kit agreed to take the minutes for the meeting.</w:t>
      </w:r>
    </w:p>
    <w:p w14:paraId="38DCA72B" w14:textId="77777777" w:rsidR="00573ACF" w:rsidRDefault="00573ACF" w:rsidP="00573ACF">
      <w:pPr>
        <w:numPr>
          <w:ilvl w:val="0"/>
          <w:numId w:val="4"/>
        </w:numPr>
        <w:spacing w:before="100" w:beforeAutospacing="1" w:after="100" w:afterAutospacing="1" w:line="240" w:lineRule="auto"/>
      </w:pPr>
      <w:r>
        <w:rPr>
          <w:rStyle w:val="Strong"/>
        </w:rPr>
        <w:t>Approval of the Minutes from March</w:t>
      </w:r>
    </w:p>
    <w:p w14:paraId="0405EF1F" w14:textId="77777777" w:rsidR="00573ACF" w:rsidRDefault="00573ACF" w:rsidP="00573ACF">
      <w:pPr>
        <w:pStyle w:val="NormalWeb"/>
      </w:pPr>
      <w:r>
        <w:rPr>
          <w:rStyle w:val="Strong"/>
        </w:rPr>
        <w:t xml:space="preserve">            </w:t>
      </w:r>
      <w:r>
        <w:t xml:space="preserve">Jan moved to approve the minutes, </w:t>
      </w:r>
      <w:proofErr w:type="spellStart"/>
      <w:r>
        <w:t>Atoma</w:t>
      </w:r>
      <w:proofErr w:type="spellEnd"/>
      <w:r>
        <w:t xml:space="preserve"> seconded.  Minutes were approved.</w:t>
      </w:r>
    </w:p>
    <w:p w14:paraId="72B32B36" w14:textId="77777777" w:rsidR="00573ACF" w:rsidRDefault="00573ACF" w:rsidP="00573ACF">
      <w:pPr>
        <w:numPr>
          <w:ilvl w:val="0"/>
          <w:numId w:val="5"/>
        </w:numPr>
        <w:spacing w:before="100" w:beforeAutospacing="1" w:after="100" w:afterAutospacing="1" w:line="240" w:lineRule="auto"/>
      </w:pPr>
      <w:r>
        <w:rPr>
          <w:rStyle w:val="Strong"/>
        </w:rPr>
        <w:t>Research Presentation – Steve Witt</w:t>
      </w:r>
    </w:p>
    <w:p w14:paraId="5E8DA43C" w14:textId="77777777" w:rsidR="00573ACF" w:rsidRDefault="00573ACF" w:rsidP="00573ACF">
      <w:pPr>
        <w:pStyle w:val="NormalWeb"/>
      </w:pPr>
      <w:r>
        <w:rPr>
          <w:rStyle w:val="Strong"/>
        </w:rPr>
        <w:t xml:space="preserve">            </w:t>
      </w:r>
      <w:r>
        <w:t>Postponed, probably until next month.</w:t>
      </w:r>
    </w:p>
    <w:p w14:paraId="7AE2881B" w14:textId="77777777" w:rsidR="00573ACF" w:rsidRDefault="00573ACF" w:rsidP="00573ACF">
      <w:pPr>
        <w:numPr>
          <w:ilvl w:val="0"/>
          <w:numId w:val="6"/>
        </w:numPr>
        <w:spacing w:before="100" w:beforeAutospacing="1" w:after="100" w:afterAutospacing="1" w:line="240" w:lineRule="auto"/>
      </w:pPr>
      <w:r>
        <w:rPr>
          <w:rStyle w:val="Strong"/>
        </w:rPr>
        <w:t>Discussion – George Gottschalk – Area Studies Vendors, Acquisitions and DEIA </w:t>
      </w:r>
    </w:p>
    <w:p w14:paraId="5F8C6CBE" w14:textId="77777777" w:rsidR="00573ACF" w:rsidRDefault="00573ACF" w:rsidP="00573ACF">
      <w:pPr>
        <w:pStyle w:val="NormalWeb"/>
      </w:pPr>
      <w:r>
        <w:t xml:space="preserve">George described Tom </w:t>
      </w:r>
      <w:proofErr w:type="spellStart"/>
      <w:r>
        <w:t>Teper’s</w:t>
      </w:r>
      <w:proofErr w:type="spellEnd"/>
      <w:r>
        <w:t xml:space="preserve"> plans for a DEIA acquisitions initiative.  Tom has an endowment fund or two that he would like to devote to DEIA acquisitions over the next five years.  He is exploring the possibility of ordering materials directly from minority- and women-owned small publishers whose works are underrepresented in library collections and who may not be </w:t>
      </w:r>
      <w:r>
        <w:lastRenderedPageBreak/>
        <w:t>connected to academic library vendors.  Possibly the middleman (i.e., GOBI) can be cut out, which should mean more money in the pockets of the publishers.  Tom has convened a group of volunteers to work on this initiative.  Mara is a member of this group, but as of 4/14 it has not met yet.</w:t>
      </w:r>
    </w:p>
    <w:p w14:paraId="29349575" w14:textId="77777777" w:rsidR="00573ACF" w:rsidRDefault="00573ACF" w:rsidP="00573ACF">
      <w:pPr>
        <w:pStyle w:val="NormalWeb"/>
      </w:pPr>
      <w:r>
        <w:t xml:space="preserve">George said that Wendy Shelburne has raised the question of whether it would be worth a small publisher’s time and effort to go through the whole process of becoming an official UIUC vendor (“jumping through our hoops”) </w:t>
      </w:r>
      <w:proofErr w:type="gramStart"/>
      <w:r>
        <w:t>in order to</w:t>
      </w:r>
      <w:proofErr w:type="gramEnd"/>
      <w:r>
        <w:t xml:space="preserve"> sell us a handful of books each year.  In many cases the amount of money changing hands would be small.  This is likely to be true for e-books as well as print books.  George agreed that small publishers of this type are not necessarily publishing huge numbers of new books each year.</w:t>
      </w:r>
    </w:p>
    <w:p w14:paraId="61567A93" w14:textId="77777777" w:rsidR="00573ACF" w:rsidRDefault="00573ACF" w:rsidP="00573ACF">
      <w:pPr>
        <w:pStyle w:val="NormalWeb"/>
      </w:pPr>
      <w:r>
        <w:t xml:space="preserve">Mara suggested an alternative model for supporting DEIA publishing based on Princeton’s experience with the Dalit women’s news agency portrayed in the documentary </w:t>
      </w:r>
      <w:r>
        <w:rPr>
          <w:rStyle w:val="Emphasis"/>
          <w:rFonts w:eastAsiaTheme="majorEastAsia"/>
        </w:rPr>
        <w:t xml:space="preserve">Writing </w:t>
      </w:r>
      <w:proofErr w:type="gramStart"/>
      <w:r>
        <w:rPr>
          <w:rStyle w:val="Emphasis"/>
          <w:rFonts w:eastAsiaTheme="majorEastAsia"/>
        </w:rPr>
        <w:t>With</w:t>
      </w:r>
      <w:proofErr w:type="gramEnd"/>
      <w:r>
        <w:rPr>
          <w:rStyle w:val="Emphasis"/>
          <w:rFonts w:eastAsiaTheme="majorEastAsia"/>
        </w:rPr>
        <w:t xml:space="preserve"> Fire</w:t>
      </w:r>
      <w:r>
        <w:t>.  Princeton worked with the news agency to subscribe to their “premium content” at a cost of $3,000 per year, which provides more sustainable support for their publishing than a one-time purchase would.  George agreed that long-term subscriptions of some kind could be better form of support.  Mara also suggested digitization projects as an alternative mode of DEIA acquisitions.</w:t>
      </w:r>
    </w:p>
    <w:p w14:paraId="4DA947C5" w14:textId="77777777" w:rsidR="00573ACF" w:rsidRDefault="00573ACF" w:rsidP="00573ACF">
      <w:pPr>
        <w:pStyle w:val="NormalWeb"/>
      </w:pPr>
      <w:r>
        <w:t>Joe suggested that we reach out to independent book publishers’ associations such as the African Publishers Network (which was featured in a 2020 panel on publishing organized by IAS GA Laura Rocco), since this could be more effective and efficient than trying to identify and work with individual small publishers.  Joe added that attending international book fairs would also help to build these relationships, but that the process will not be easy.</w:t>
      </w:r>
    </w:p>
    <w:p w14:paraId="72333FC2" w14:textId="77777777" w:rsidR="00573ACF" w:rsidRDefault="00573ACF" w:rsidP="00573ACF">
      <w:pPr>
        <w:pStyle w:val="NormalWeb"/>
      </w:pPr>
      <w:r>
        <w:t>George said that our GOBI representative felt that an initiative like this wouldn’t have much of an effect on GOBI’s bottom line, so we should feel free to speak frankly about it with GOBI, which knows a lot about the issues involved.  George also emphasized that we should be trying to connect small publishers with other libraries as well, not just ours.  Another question is how small publishers determine what to charge for their publications.  There may be a mismatch between what libraries are prepared to pay and what small publishers think the market will bear.</w:t>
      </w:r>
    </w:p>
    <w:p w14:paraId="3321E499" w14:textId="77777777" w:rsidR="00573ACF" w:rsidRDefault="00573ACF" w:rsidP="00573ACF">
      <w:pPr>
        <w:pStyle w:val="NormalWeb"/>
      </w:pPr>
      <w:r>
        <w:t xml:space="preserve">Jan raised the larger question of whether the </w:t>
      </w:r>
      <w:proofErr w:type="gramStart"/>
      <w:r>
        <w:t>Library’s</w:t>
      </w:r>
      <w:proofErr w:type="gramEnd"/>
      <w:r>
        <w:t xml:space="preserve"> long-term emphasis is on collecting very rare materials or on collecting things that other libraries also own.  This has significant implications for the </w:t>
      </w:r>
      <w:proofErr w:type="gramStart"/>
      <w:r>
        <w:t>Library’s</w:t>
      </w:r>
      <w:proofErr w:type="gramEnd"/>
      <w:r>
        <w:t xml:space="preserve"> capacity to process materials in a timely manner.  He pointed out that items acquired directly from small publishers, for example, are unlikely to have a catalog record on </w:t>
      </w:r>
      <w:proofErr w:type="spellStart"/>
      <w:r>
        <w:t>WorldCat</w:t>
      </w:r>
      <w:proofErr w:type="spellEnd"/>
      <w:r>
        <w:t xml:space="preserve">.  This means that original cataloging by UIUC will be required, and ACS’s capacity to do this needs to be part of this conversation.  Mara, Antonio, </w:t>
      </w:r>
      <w:proofErr w:type="gramStart"/>
      <w:r>
        <w:t>Kit</w:t>
      </w:r>
      <w:proofErr w:type="gramEnd"/>
      <w:r>
        <w:t xml:space="preserve"> and others agreed with Jan on the importance of this issue.  Materials in less common languages might be great for DEIA purposes, but they create difficulties in ACS, which may not have the necessary language expertise at any given time.</w:t>
      </w:r>
    </w:p>
    <w:p w14:paraId="364B8372" w14:textId="77777777" w:rsidR="00573ACF" w:rsidRDefault="00573ACF" w:rsidP="00573ACF">
      <w:pPr>
        <w:pStyle w:val="NormalWeb"/>
      </w:pPr>
      <w:r>
        <w:t xml:space="preserve">Kit, </w:t>
      </w:r>
      <w:proofErr w:type="spellStart"/>
      <w:r>
        <w:t>Atoma</w:t>
      </w:r>
      <w:proofErr w:type="spellEnd"/>
      <w:r>
        <w:t xml:space="preserve">, and others spoke about their experiences trying to encourage local booksellers overseas to become official UIUC vendors.  In </w:t>
      </w:r>
      <w:proofErr w:type="gramStart"/>
      <w:r>
        <w:t>general</w:t>
      </w:r>
      <w:proofErr w:type="gramEnd"/>
      <w:r>
        <w:t xml:space="preserve"> they do not seem to think that this will benefit them.  It may be that only larger, more established vendors are able to get regular shipments of books through customs, which is why smaller dealers may prefer an indirect relationship with UIUC.  George recalled that at one point one of Antonio’s vendors threw up his </w:t>
      </w:r>
      <w:r>
        <w:lastRenderedPageBreak/>
        <w:t xml:space="preserve">hands and told one of his rivals “I can’t deal with these customs problems </w:t>
      </w:r>
      <w:proofErr w:type="gramStart"/>
      <w:r>
        <w:t>any more</w:t>
      </w:r>
      <w:proofErr w:type="gramEnd"/>
      <w:r>
        <w:t xml:space="preserve">, Colombia is yours now.”  George added that even getting local booksellers to produce an itemized receipt for cash purchases on buying trips can be a challenge, much less dealing with all the UIUC vendor paperwork.  </w:t>
      </w:r>
      <w:proofErr w:type="spellStart"/>
      <w:r>
        <w:t>Atoma</w:t>
      </w:r>
      <w:proofErr w:type="spellEnd"/>
      <w:r>
        <w:t xml:space="preserve"> said that a member of a Francophone women writers’ group was more concerned with how to get exposure for their work in the U.S., implying that the opportunity to simply sell their books to a U.S. library (where they would sit alongside millions of other books) was not really what they were looking for.</w:t>
      </w:r>
    </w:p>
    <w:p w14:paraId="09FE794B" w14:textId="77777777" w:rsidR="00573ACF" w:rsidRDefault="00573ACF" w:rsidP="00573ACF">
      <w:pPr>
        <w:pStyle w:val="NormalWeb"/>
      </w:pPr>
      <w:r>
        <w:t xml:space="preserve">Kit said that feeling like we are helping people and </w:t>
      </w:r>
      <w:proofErr w:type="gramStart"/>
      <w:r>
        <w:t>actually helping</w:t>
      </w:r>
      <w:proofErr w:type="gramEnd"/>
      <w:r>
        <w:t xml:space="preserve"> people are two different things.  Clara sent a link to the mission statement of the Coalition of Librarians for Equity and Access (</w:t>
      </w:r>
      <w:hyperlink r:id="rId8" w:history="1">
        <w:r>
          <w:rPr>
            <w:rStyle w:val="Hyperlink"/>
            <w:rFonts w:eastAsiaTheme="majorEastAsia"/>
          </w:rPr>
          <w:t>https://coalition-lea.org/mission-statement/</w:t>
        </w:r>
      </w:hyperlink>
      <w:r>
        <w:t xml:space="preserve">) and pointed out that work has already been done on these issues.  She asked whether the </w:t>
      </w:r>
      <w:proofErr w:type="gramStart"/>
      <w:r>
        <w:t>Library</w:t>
      </w:r>
      <w:proofErr w:type="gramEnd"/>
      <w:r>
        <w:t xml:space="preserve"> has to actually buy something tangible from people in order to support them, or whether certain connections and types of knowledge would be more useful to them.  When trying to support specific communities or groups for DEIA purposes, we should be asking what knowledge *they* wish to share, and how do they wish to share it.  She stressed the importance of agency in the preservation of cultural heritage.  How should a group’s culture and knowledge be represented according to </w:t>
      </w:r>
      <w:r>
        <w:rPr>
          <w:rStyle w:val="Emphasis"/>
          <w:rFonts w:eastAsiaTheme="majorEastAsia"/>
        </w:rPr>
        <w:t>them</w:t>
      </w:r>
      <w:r>
        <w:t xml:space="preserve">?  Kit pointed out how complicated these efforts can get, using the example of the Turkish Jewish vendor he uses to buy books from </w:t>
      </w:r>
      <w:proofErr w:type="gramStart"/>
      <w:r>
        <w:t>an</w:t>
      </w:r>
      <w:proofErr w:type="gramEnd"/>
      <w:r>
        <w:t xml:space="preserve"> Uyghur bookstore in Istanbul, and the Uzbek materials he could buy via a vendor based in Uzbekistan’s Korean community.  Who is Kit really helping when he (for example) buys books published by Uyghurs living in Turkey via a non-Uyghur vendor, and is there any practical alternative?</w:t>
      </w:r>
    </w:p>
    <w:p w14:paraId="027FF3AA" w14:textId="77777777" w:rsidR="00573ACF" w:rsidRDefault="00573ACF" w:rsidP="00573ACF">
      <w:pPr>
        <w:pStyle w:val="NormalWeb"/>
      </w:pPr>
      <w:r>
        <w:t xml:space="preserve">George said that he has spoken to his counterparts at other BTAA libraries about DEIA initiatives.  They seem to agree that buying a few books for a few years doesn’t really address the larger issues.  Australia and New Zealand appear to be in the forefront of </w:t>
      </w:r>
      <w:proofErr w:type="gramStart"/>
      <w:r>
        <w:t>culturally-appropriate</w:t>
      </w:r>
      <w:proofErr w:type="gramEnd"/>
      <w:r>
        <w:t xml:space="preserve"> preservation of cultural heritage and data.  Currently there is a debate going on within a Native American community in Montana, with one side advocating for turning over their non-sacred papers to a university library for preservation purposes and potentially broader reach, while the other side thinks that the community should keep, </w:t>
      </w:r>
      <w:proofErr w:type="gramStart"/>
      <w:r>
        <w:t>preserve</w:t>
      </w:r>
      <w:proofErr w:type="gramEnd"/>
      <w:r>
        <w:t xml:space="preserve"> and promote these materials themselves.</w:t>
      </w:r>
    </w:p>
    <w:p w14:paraId="01B363D4" w14:textId="77777777" w:rsidR="00573ACF" w:rsidRDefault="00573ACF" w:rsidP="00573ACF">
      <w:pPr>
        <w:pStyle w:val="NormalWeb"/>
      </w:pPr>
      <w:r>
        <w:t xml:space="preserve">Antonio said that he and his BTAA colleagues (via MOLLAS) are talking about their own collective </w:t>
      </w:r>
      <w:proofErr w:type="gramStart"/>
      <w:r>
        <w:t>acquisitions</w:t>
      </w:r>
      <w:proofErr w:type="gramEnd"/>
      <w:r>
        <w:t xml:space="preserve"> efforts.  Brazil, for example, has a vibrant publishing industry, and BTAA libraries can do much, much more to collect diverse Brazilian materials.  Antonio advocated for taking advantage of existing BTAA collaborations.  George praised the long-term collaboration efforts among South Asian Studies librarians in the U.S.  Mara referred to much of the previous discussion and pointed out that a lot of it was an argument for the importance of in-person buying trips for subject specialists.</w:t>
      </w:r>
    </w:p>
    <w:p w14:paraId="5A096FCB" w14:textId="77777777" w:rsidR="00573ACF" w:rsidRDefault="00573ACF" w:rsidP="00573ACF">
      <w:pPr>
        <w:pStyle w:val="NormalWeb"/>
      </w:pPr>
      <w:r>
        <w:t> </w:t>
      </w:r>
    </w:p>
    <w:p w14:paraId="37129CED" w14:textId="77777777" w:rsidR="00573ACF" w:rsidRDefault="00573ACF" w:rsidP="00573ACF">
      <w:pPr>
        <w:numPr>
          <w:ilvl w:val="0"/>
          <w:numId w:val="7"/>
        </w:numPr>
        <w:spacing w:before="100" w:beforeAutospacing="1" w:after="100" w:afterAutospacing="1" w:line="240" w:lineRule="auto"/>
      </w:pPr>
      <w:r>
        <w:rPr>
          <w:rStyle w:val="Strong"/>
        </w:rPr>
        <w:t>Reports</w:t>
      </w:r>
    </w:p>
    <w:p w14:paraId="601B0EA8" w14:textId="77777777" w:rsidR="00573ACF" w:rsidRDefault="00573ACF" w:rsidP="00573ACF">
      <w:pPr>
        <w:pStyle w:val="NormalWeb"/>
      </w:pPr>
      <w:r>
        <w:t>(none)</w:t>
      </w:r>
    </w:p>
    <w:p w14:paraId="090E25B7" w14:textId="77777777" w:rsidR="00573ACF" w:rsidRDefault="00573ACF" w:rsidP="00573ACF">
      <w:pPr>
        <w:pStyle w:val="NormalWeb"/>
      </w:pPr>
      <w:r>
        <w:t>Meeting was adjourned at 12:01 pm.</w:t>
      </w:r>
    </w:p>
    <w:p w14:paraId="15F5D12E" w14:textId="6F6DDA56" w:rsidR="00260953" w:rsidRPr="000435FF" w:rsidRDefault="00260953" w:rsidP="00260953"/>
    <w:sectPr w:rsidR="00260953" w:rsidRPr="000435FF"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650B4" w14:textId="77777777" w:rsidR="00023B3A" w:rsidRDefault="00023B3A" w:rsidP="00EB4C9F">
      <w:pPr>
        <w:spacing w:after="0" w:line="240" w:lineRule="auto"/>
      </w:pPr>
      <w:r>
        <w:separator/>
      </w:r>
    </w:p>
  </w:endnote>
  <w:endnote w:type="continuationSeparator" w:id="0">
    <w:p w14:paraId="715B14AA" w14:textId="77777777" w:rsidR="00023B3A" w:rsidRDefault="00023B3A"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embedRegular r:id="rId1" w:fontKey="{E641933D-0F18-8F47-B65D-713E130F0B31}"/>
    <w:embedBold r:id="rId2" w:fontKey="{853A2A14-4650-AE4D-8F7F-97F44893A2F3}"/>
  </w:font>
  <w:font w:name="Times New Roman">
    <w:panose1 w:val="02020603050405020304"/>
    <w:charset w:val="00"/>
    <w:family w:val="roman"/>
    <w:pitch w:val="variable"/>
    <w:sig w:usb0="E0002EFF" w:usb1="C000785B" w:usb2="00000009" w:usb3="00000000" w:csb0="000001FF" w:csb1="00000000"/>
    <w:embedRegular r:id="rId3" w:fontKey="{AA3EA958-E214-8347-A1B0-A1609E3E9979}"/>
    <w:embedBold r:id="rId4" w:fontKey="{65D0FFDF-1BE8-1846-9725-3A6DD6FD6D29}"/>
    <w:embedItalic r:id="rId5" w:fontKey="{2BD15E3B-4D3B-1449-973B-A9F12D1EF381}"/>
  </w:font>
  <w:font w:name="Calibri Light">
    <w:panose1 w:val="020F0302020204030204"/>
    <w:charset w:val="00"/>
    <w:family w:val="swiss"/>
    <w:pitch w:val="variable"/>
    <w:sig w:usb0="E0002AFF" w:usb1="C000247B" w:usb2="00000009" w:usb3="00000000" w:csb0="000001FF" w:csb1="00000000"/>
    <w:embedRegular r:id="rId6" w:subsetted="1" w:fontKey="{D7C45442-4173-EE4D-BC8D-B4EFE20A033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4DE50" w14:textId="77777777" w:rsidR="00023B3A" w:rsidRDefault="00023B3A" w:rsidP="00EB4C9F">
      <w:pPr>
        <w:spacing w:after="0" w:line="240" w:lineRule="auto"/>
      </w:pPr>
      <w:r>
        <w:separator/>
      </w:r>
    </w:p>
  </w:footnote>
  <w:footnote w:type="continuationSeparator" w:id="0">
    <w:p w14:paraId="2F46C95B" w14:textId="77777777" w:rsidR="00023B3A" w:rsidRDefault="00023B3A"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475E5"/>
    <w:multiLevelType w:val="multilevel"/>
    <w:tmpl w:val="686A4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D587023"/>
    <w:multiLevelType w:val="multilevel"/>
    <w:tmpl w:val="8D90524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E71DD4"/>
    <w:multiLevelType w:val="multilevel"/>
    <w:tmpl w:val="FBA0D4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B1C701D"/>
    <w:multiLevelType w:val="multilevel"/>
    <w:tmpl w:val="938856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162068F"/>
    <w:multiLevelType w:val="multilevel"/>
    <w:tmpl w:val="A0B23A1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5260F53"/>
    <w:multiLevelType w:val="multilevel"/>
    <w:tmpl w:val="0C08D4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3"/>
  </w:num>
  <w:num w:numId="2" w16cid:durableId="157503805">
    <w:abstractNumId w:val="0"/>
  </w:num>
  <w:num w:numId="3" w16cid:durableId="1337147378">
    <w:abstractNumId w:val="5"/>
  </w:num>
  <w:num w:numId="4" w16cid:durableId="2027976534">
    <w:abstractNumId w:val="6"/>
  </w:num>
  <w:num w:numId="5" w16cid:durableId="2010867443">
    <w:abstractNumId w:val="2"/>
  </w:num>
  <w:num w:numId="6" w16cid:durableId="1271814114">
    <w:abstractNumId w:val="1"/>
  </w:num>
  <w:num w:numId="7" w16cid:durableId="9996211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3B3A"/>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54B4"/>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73ACF"/>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8"/>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73AC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573ACF"/>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573A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73ACF"/>
    <w:rPr>
      <w:b/>
      <w:bCs/>
    </w:rPr>
  </w:style>
  <w:style w:type="character" w:styleId="Emphasis">
    <w:name w:val="Emphasis"/>
    <w:basedOn w:val="DefaultParagraphFont"/>
    <w:uiPriority w:val="20"/>
    <w:qFormat/>
    <w:rsid w:val="00573ACF"/>
    <w:rPr>
      <w:i/>
      <w:iCs/>
    </w:rPr>
  </w:style>
  <w:style w:type="character" w:styleId="Hyperlink">
    <w:name w:val="Hyperlink"/>
    <w:basedOn w:val="DefaultParagraphFont"/>
    <w:uiPriority w:val="99"/>
    <w:semiHidden/>
    <w:unhideWhenUsed/>
    <w:rsid w:val="00573A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1424755">
      <w:bodyDiv w:val="1"/>
      <w:marLeft w:val="0"/>
      <w:marRight w:val="0"/>
      <w:marTop w:val="0"/>
      <w:marBottom w:val="0"/>
      <w:divBdr>
        <w:top w:val="none" w:sz="0" w:space="0" w:color="auto"/>
        <w:left w:val="none" w:sz="0" w:space="0" w:color="auto"/>
        <w:bottom w:val="none" w:sz="0" w:space="0" w:color="auto"/>
        <w:right w:val="none" w:sz="0" w:space="0" w:color="auto"/>
      </w:divBdr>
      <w:divsChild>
        <w:div w:id="808132856">
          <w:marLeft w:val="0"/>
          <w:marRight w:val="0"/>
          <w:marTop w:val="0"/>
          <w:marBottom w:val="0"/>
          <w:divBdr>
            <w:top w:val="none" w:sz="0" w:space="0" w:color="auto"/>
            <w:left w:val="none" w:sz="0" w:space="0" w:color="auto"/>
            <w:bottom w:val="none" w:sz="0" w:space="0" w:color="auto"/>
            <w:right w:val="none" w:sz="0" w:space="0" w:color="auto"/>
          </w:divBdr>
          <w:divsChild>
            <w:div w:id="1371298907">
              <w:marLeft w:val="0"/>
              <w:marRight w:val="0"/>
              <w:marTop w:val="0"/>
              <w:marBottom w:val="0"/>
              <w:divBdr>
                <w:top w:val="none" w:sz="0" w:space="0" w:color="auto"/>
                <w:left w:val="none" w:sz="0" w:space="0" w:color="auto"/>
                <w:bottom w:val="none" w:sz="0" w:space="0" w:color="auto"/>
                <w:right w:val="none" w:sz="0" w:space="0" w:color="auto"/>
              </w:divBdr>
              <w:divsChild>
                <w:div w:id="356782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alition-lea.org/mission-stat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1215</Words>
  <Characters>6927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2023-06-13T15:20:00Z</dcterms:created>
  <dcterms:modified xsi:type="dcterms:W3CDTF">2023-06-13T15:20:00Z</dcterms:modified>
</cp:coreProperties>
</file>