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1C476F" w:rsidRDefault="008F5ECA">
      <w:pPr>
        <w:spacing w:before="240" w:after="240"/>
        <w:jc w:val="center"/>
        <w:rPr>
          <w:rFonts w:ascii="Calibri" w:eastAsia="Calibri" w:hAnsi="Calibri" w:cs="Calibri"/>
          <w:b/>
          <w:sz w:val="24"/>
          <w:szCs w:val="24"/>
        </w:rPr>
      </w:pPr>
      <w:bookmarkStart w:id="0" w:name="_GoBack"/>
      <w:bookmarkEnd w:id="0"/>
      <w:r>
        <w:rPr>
          <w:rFonts w:ascii="Calibri" w:eastAsia="Calibri" w:hAnsi="Calibri" w:cs="Calibri"/>
          <w:b/>
          <w:sz w:val="24"/>
          <w:szCs w:val="24"/>
        </w:rPr>
        <w:t>Moving Forward DEIA Initiatives at UIUC Library Meeting</w:t>
      </w:r>
    </w:p>
    <w:p w14:paraId="00000002" w14:textId="77777777" w:rsidR="001C476F" w:rsidRDefault="008F5ECA">
      <w:pPr>
        <w:spacing w:before="240" w:after="240"/>
        <w:rPr>
          <w:rFonts w:ascii="Calibri" w:eastAsia="Calibri" w:hAnsi="Calibri" w:cs="Calibri"/>
          <w:sz w:val="24"/>
          <w:szCs w:val="24"/>
        </w:rPr>
      </w:pPr>
      <w:r>
        <w:rPr>
          <w:rFonts w:ascii="Calibri" w:eastAsia="Calibri" w:hAnsi="Calibri" w:cs="Calibri"/>
          <w:b/>
          <w:sz w:val="24"/>
          <w:szCs w:val="24"/>
        </w:rPr>
        <w:t>Collaborators</w:t>
      </w:r>
      <w:r>
        <w:rPr>
          <w:rFonts w:ascii="Calibri" w:eastAsia="Calibri" w:hAnsi="Calibri" w:cs="Calibri"/>
          <w:sz w:val="24"/>
          <w:szCs w:val="24"/>
        </w:rPr>
        <w:t xml:space="preserve">: Skye Arseneau, Jessica Ballard, Cindy Ingold, Jake MacGregor, Heather Murphy </w:t>
      </w:r>
    </w:p>
    <w:p w14:paraId="00000003" w14:textId="77777777" w:rsidR="001C476F" w:rsidRDefault="008F5ECA">
      <w:pPr>
        <w:spacing w:before="240" w:after="240"/>
        <w:rPr>
          <w:rFonts w:ascii="Calibri" w:eastAsia="Calibri" w:hAnsi="Calibri" w:cs="Calibri"/>
          <w:b/>
          <w:sz w:val="24"/>
          <w:szCs w:val="24"/>
        </w:rPr>
      </w:pPr>
      <w:r>
        <w:rPr>
          <w:rFonts w:ascii="Calibri" w:eastAsia="Calibri" w:hAnsi="Calibri" w:cs="Calibri"/>
          <w:b/>
          <w:sz w:val="24"/>
          <w:szCs w:val="24"/>
        </w:rPr>
        <w:t>Background</w:t>
      </w:r>
    </w:p>
    <w:p w14:paraId="00000004"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Members of the Diversity Committee, Organization Development &amp; Training Advisory Committee, Library Human Resources, and Communications recently came together to pool perspectives on the needs and interests we have seen for improving diversity, equity, inclusion and access (DEIA) at the University Library.  What follows is a synthesis of our discussion along with recommendations for the following academic year. Our goal is to help define needs and identify potential solutions that support the Library’s progress in DEIA work.</w:t>
      </w:r>
    </w:p>
    <w:p w14:paraId="00000005" w14:textId="77777777" w:rsidR="001C476F" w:rsidRDefault="008F5ECA">
      <w:pPr>
        <w:spacing w:before="240" w:after="240"/>
        <w:rPr>
          <w:rFonts w:ascii="Calibri" w:eastAsia="Calibri" w:hAnsi="Calibri" w:cs="Calibri"/>
          <w:b/>
          <w:sz w:val="24"/>
          <w:szCs w:val="24"/>
        </w:rPr>
      </w:pPr>
      <w:r>
        <w:rPr>
          <w:rFonts w:ascii="Calibri" w:eastAsia="Calibri" w:hAnsi="Calibri" w:cs="Calibri"/>
          <w:b/>
          <w:sz w:val="24"/>
          <w:szCs w:val="24"/>
        </w:rPr>
        <w:t>Issue Synthesis</w:t>
      </w:r>
    </w:p>
    <w:p w14:paraId="00000006"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Recent national events and discourse surrounding police brutality and systemic racism has stoked broad interest and energy across the Library to create a workplace that is safe, welcoming, and inclusive to all. The Library has a number of committees and roles (as well as access to campus-level resources and cross-department collaboration) that overlap with facets of diversity, equity</w:t>
      </w:r>
      <w:proofErr w:type="gramStart"/>
      <w:r>
        <w:rPr>
          <w:rFonts w:ascii="Calibri" w:eastAsia="Calibri" w:hAnsi="Calibri" w:cs="Calibri"/>
          <w:sz w:val="24"/>
          <w:szCs w:val="24"/>
        </w:rPr>
        <w:t>,  inclusion</w:t>
      </w:r>
      <w:proofErr w:type="gramEnd"/>
      <w:r>
        <w:rPr>
          <w:rFonts w:ascii="Calibri" w:eastAsia="Calibri" w:hAnsi="Calibri" w:cs="Calibri"/>
          <w:sz w:val="24"/>
          <w:szCs w:val="24"/>
        </w:rPr>
        <w:t xml:space="preserve">, and access (DEIA), which makes it well positioned for great strides in DEIA efforts.  However, this also acts as a double-edged sword. In a large, decentralized department with a strong history of shared governance, it is not clear where the ownership lies for leading DEIA efforts (a new position in Library Administration that would likely have spearheaded such efforts has been suspended in the wake of economic uncertainty from the COVID-19 pandemic). This creates challenges in both ensuring that resources and efforts are directed in a coordinated manner, as well as clarifying responsibilities for sustaining DEIA efforts over time.  Another challenge is that DEIA efforts often involve an education and awareness component.  Library employees self-report at different levels of knowledge, skill, and awareness of cultures and backgrounds different than their own, so successful DEIA efforts must be flexible and able to reach people where they are at.  And because topics of race, power, and privilege can become emotionally charged even when all participants have the best of intentions, it is very important to create a safe and healthy environment for dialog and learning through strong facilitation. In fact, DEIA work often involves a sense of discomfort to recognize and combat internal bias, unlearn stereotypes, and change attitudes and behavior.  Helping Library employees learn how to work through any discomfort and engage in these topics without defensiveness is critical to creating a more inclusive and welcoming organizational climate.  Finally, care must be taken to avoid situations where individuals may feel pressured to represent the voice of an entire group or do the “heavy lifting” of diversity and equity work in the organization, which can exacerbate the physical and emotional stress, </w:t>
      </w:r>
      <w:r>
        <w:rPr>
          <w:rFonts w:ascii="Calibri" w:eastAsia="Calibri" w:hAnsi="Calibri" w:cs="Calibri"/>
          <w:sz w:val="24"/>
          <w:szCs w:val="24"/>
        </w:rPr>
        <w:lastRenderedPageBreak/>
        <w:t>and feelings of isolation and marginalization, that people from underrepresented groups already endure in the workplace and society itself.</w:t>
      </w:r>
    </w:p>
    <w:p w14:paraId="00000007"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00000008" w14:textId="77777777" w:rsidR="001C476F" w:rsidRDefault="008F5ECA">
      <w:pPr>
        <w:spacing w:before="240" w:after="240"/>
        <w:rPr>
          <w:rFonts w:ascii="Calibri" w:eastAsia="Calibri" w:hAnsi="Calibri" w:cs="Calibri"/>
          <w:sz w:val="24"/>
          <w:szCs w:val="24"/>
        </w:rPr>
      </w:pPr>
      <w:r>
        <w:rPr>
          <w:rFonts w:ascii="Calibri" w:eastAsia="Calibri" w:hAnsi="Calibri" w:cs="Calibri"/>
          <w:b/>
          <w:sz w:val="24"/>
          <w:szCs w:val="24"/>
        </w:rPr>
        <w:t xml:space="preserve">Recommendations </w:t>
      </w:r>
    </w:p>
    <w:p w14:paraId="00000009"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Given the above considerations, our group identified the following recommendations</w:t>
      </w:r>
    </w:p>
    <w:p w14:paraId="0000000A" w14:textId="77777777" w:rsidR="001C476F" w:rsidRDefault="008F5ECA">
      <w:pPr>
        <w:spacing w:before="240" w:after="240"/>
        <w:rPr>
          <w:rFonts w:ascii="Calibri" w:eastAsia="Calibri" w:hAnsi="Calibri" w:cs="Calibri"/>
          <w:b/>
          <w:i/>
          <w:sz w:val="24"/>
          <w:szCs w:val="24"/>
        </w:rPr>
      </w:pPr>
      <w:r>
        <w:rPr>
          <w:rFonts w:ascii="Calibri" w:eastAsia="Calibri" w:hAnsi="Calibri" w:cs="Calibri"/>
          <w:b/>
          <w:i/>
          <w:sz w:val="24"/>
          <w:szCs w:val="24"/>
        </w:rPr>
        <w:t>1)</w:t>
      </w:r>
      <w:r>
        <w:rPr>
          <w:rFonts w:ascii="Calibri" w:eastAsia="Calibri" w:hAnsi="Calibri" w:cs="Calibri"/>
          <w:sz w:val="24"/>
          <w:szCs w:val="24"/>
        </w:rPr>
        <w:t xml:space="preserve">   </w:t>
      </w:r>
      <w:r>
        <w:rPr>
          <w:rFonts w:ascii="Calibri" w:eastAsia="Calibri" w:hAnsi="Calibri" w:cs="Calibri"/>
          <w:b/>
          <w:i/>
          <w:sz w:val="24"/>
          <w:szCs w:val="24"/>
        </w:rPr>
        <w:t>Invest upfront for systemic change</w:t>
      </w:r>
    </w:p>
    <w:p w14:paraId="0000000B"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DEIA efforts are often too narrowly focused and under-resourced. As a result, they fizzle out before real significant long-term progress and improvements in DEIA can be realized, especially in addressing key challenges with organizational culture and climate, entrenched structural and process inequities, and similar deeper issues that take time and care to resolve. By taking a holistic approach and strategically investing in DEIA efforts, it is possible to break out of this cycle and move along a path that creates appreciable change in making the organization more diverse, equitable, and inclusive.  Such change does not need to happen in one big push; in fact, incremental change through planned and properly resourced phases aligned around a common vision is often a more practical, effective, and achievable approach.</w:t>
      </w:r>
    </w:p>
    <w:p w14:paraId="0000000C" w14:textId="77777777" w:rsidR="001C476F" w:rsidRDefault="001C476F">
      <w:pPr>
        <w:spacing w:before="240" w:after="240"/>
        <w:rPr>
          <w:rFonts w:ascii="Calibri" w:eastAsia="Calibri" w:hAnsi="Calibri" w:cs="Calibri"/>
          <w:sz w:val="24"/>
          <w:szCs w:val="24"/>
        </w:rPr>
      </w:pPr>
    </w:p>
    <w:p w14:paraId="0000000D" w14:textId="77777777" w:rsidR="001C476F" w:rsidRDefault="008F5ECA">
      <w:pPr>
        <w:spacing w:before="240" w:after="240"/>
        <w:rPr>
          <w:rFonts w:ascii="Calibri" w:eastAsia="Calibri" w:hAnsi="Calibri" w:cs="Calibri"/>
          <w:sz w:val="24"/>
          <w:szCs w:val="24"/>
        </w:rPr>
      </w:pPr>
      <w:r>
        <w:rPr>
          <w:rFonts w:ascii="Calibri" w:eastAsia="Calibri" w:hAnsi="Calibri" w:cs="Calibri"/>
          <w:b/>
          <w:i/>
          <w:sz w:val="24"/>
          <w:szCs w:val="24"/>
        </w:rPr>
        <w:t>2)  Designate a task force</w:t>
      </w:r>
    </w:p>
    <w:p w14:paraId="0000000E"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We believe DEIA work is vitally important and has the greatest chance for success when leadership comes from the top and involves a coalition-approach that supports strong, broad and sustained representation across the Library. This top-down and broad-based approach enables recommendations and decisions to be informed by insight into different areas of the organization and creates opportunities for individuals with skills or expertise associated with DEIA to have an opportunity to bring their talents and ideas to the table.</w:t>
      </w:r>
    </w:p>
    <w:p w14:paraId="0000000F"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Specifically, the Library has numerous recent examples that a task force with a clear charge can accomplish great things (the design and implementation of the AP Promotion Program, the ILS Migration, the Strategic Planning effort, etc.)</w:t>
      </w:r>
    </w:p>
    <w:p w14:paraId="00000010"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 xml:space="preserve">We suggest that a DEIA task force could </w:t>
      </w:r>
    </w:p>
    <w:p w14:paraId="00000011" w14:textId="77777777" w:rsidR="001C476F" w:rsidRDefault="008F5ECA">
      <w:pPr>
        <w:numPr>
          <w:ilvl w:val="0"/>
          <w:numId w:val="1"/>
        </w:numPr>
        <w:spacing w:before="240"/>
        <w:rPr>
          <w:rFonts w:ascii="Calibri" w:eastAsia="Calibri" w:hAnsi="Calibri" w:cs="Calibri"/>
          <w:sz w:val="24"/>
          <w:szCs w:val="24"/>
        </w:rPr>
      </w:pPr>
      <w:r>
        <w:rPr>
          <w:rFonts w:ascii="Calibri" w:eastAsia="Calibri" w:hAnsi="Calibri" w:cs="Calibri"/>
          <w:sz w:val="24"/>
          <w:szCs w:val="24"/>
        </w:rPr>
        <w:t>Develop, in concert with the University Librarian, near-term goals and objectives that support an established DEIA vision (i.e., training &amp; skill acquisition, professionally-</w:t>
      </w:r>
      <w:r>
        <w:rPr>
          <w:rFonts w:ascii="Calibri" w:eastAsia="Calibri" w:hAnsi="Calibri" w:cs="Calibri"/>
          <w:sz w:val="24"/>
          <w:szCs w:val="24"/>
        </w:rPr>
        <w:lastRenderedPageBreak/>
        <w:t xml:space="preserve">facilitated dialog, </w:t>
      </w:r>
      <w:proofErr w:type="gramStart"/>
      <w:r>
        <w:rPr>
          <w:rFonts w:ascii="Calibri" w:eastAsia="Calibri" w:hAnsi="Calibri" w:cs="Calibri"/>
          <w:sz w:val="24"/>
          <w:szCs w:val="24"/>
        </w:rPr>
        <w:t>programming</w:t>
      </w:r>
      <w:proofErr w:type="gramEnd"/>
      <w:r>
        <w:rPr>
          <w:rFonts w:ascii="Calibri" w:eastAsia="Calibri" w:hAnsi="Calibri" w:cs="Calibri"/>
          <w:sz w:val="24"/>
          <w:szCs w:val="24"/>
        </w:rPr>
        <w:t>); make recommendations for the University Librarian to consider, fund, and implement.</w:t>
      </w:r>
    </w:p>
    <w:p w14:paraId="00000012" w14:textId="77777777" w:rsidR="001C476F" w:rsidRDefault="008F5ECA">
      <w:pPr>
        <w:numPr>
          <w:ilvl w:val="0"/>
          <w:numId w:val="1"/>
        </w:numPr>
        <w:rPr>
          <w:rFonts w:ascii="Calibri" w:eastAsia="Calibri" w:hAnsi="Calibri" w:cs="Calibri"/>
          <w:sz w:val="24"/>
          <w:szCs w:val="24"/>
        </w:rPr>
      </w:pPr>
      <w:r>
        <w:rPr>
          <w:rFonts w:ascii="Calibri" w:eastAsia="Calibri" w:hAnsi="Calibri" w:cs="Calibri"/>
          <w:sz w:val="24"/>
          <w:szCs w:val="24"/>
        </w:rPr>
        <w:t>Review past efforts and archival information pertaining to DEIA and Library climate to better understand long standing issues and historical trends, and prior recommendations that may not have been implemented</w:t>
      </w:r>
    </w:p>
    <w:p w14:paraId="00000013" w14:textId="77777777" w:rsidR="001C476F" w:rsidRDefault="008F5ECA">
      <w:pPr>
        <w:numPr>
          <w:ilvl w:val="0"/>
          <w:numId w:val="1"/>
        </w:numPr>
        <w:rPr>
          <w:rFonts w:ascii="Calibri" w:eastAsia="Calibri" w:hAnsi="Calibri" w:cs="Calibri"/>
          <w:sz w:val="24"/>
          <w:szCs w:val="24"/>
        </w:rPr>
      </w:pPr>
      <w:r>
        <w:rPr>
          <w:rFonts w:ascii="Calibri" w:eastAsia="Calibri" w:hAnsi="Calibri" w:cs="Calibri"/>
          <w:sz w:val="24"/>
          <w:szCs w:val="24"/>
        </w:rPr>
        <w:t>Track and create more visibility around existing work and partnerships that the Library has that support DEIA (for example, University Archives’ partnerships with campus departments to recognize historic contributions from BIPOC University members).  Potentially develop a formal way for Library employees to submit requests for DEIA work</w:t>
      </w:r>
    </w:p>
    <w:p w14:paraId="00000014" w14:textId="77777777" w:rsidR="001C476F" w:rsidRDefault="008F5ECA">
      <w:pPr>
        <w:numPr>
          <w:ilvl w:val="0"/>
          <w:numId w:val="1"/>
        </w:numPr>
        <w:spacing w:after="240"/>
        <w:rPr>
          <w:rFonts w:ascii="Calibri" w:eastAsia="Calibri" w:hAnsi="Calibri" w:cs="Calibri"/>
          <w:sz w:val="24"/>
          <w:szCs w:val="24"/>
        </w:rPr>
      </w:pPr>
      <w:r>
        <w:rPr>
          <w:rFonts w:ascii="Calibri" w:eastAsia="Calibri" w:hAnsi="Calibri" w:cs="Calibri"/>
          <w:sz w:val="24"/>
          <w:szCs w:val="24"/>
        </w:rPr>
        <w:t xml:space="preserve">Identify and recommend processes that help the Library coordinate on DEIA-related efforts, such as a clearinghouse for requests for DEIA speakers, events, etc. </w:t>
      </w:r>
    </w:p>
    <w:p w14:paraId="00000015"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 xml:space="preserve">A draft charge for such a task force is appended to this document for consideration.   </w:t>
      </w:r>
    </w:p>
    <w:p w14:paraId="00000016" w14:textId="77777777" w:rsidR="001C476F" w:rsidRDefault="001C476F">
      <w:pPr>
        <w:spacing w:before="240" w:after="240"/>
        <w:rPr>
          <w:rFonts w:ascii="Calibri" w:eastAsia="Calibri" w:hAnsi="Calibri" w:cs="Calibri"/>
          <w:b/>
          <w:i/>
          <w:sz w:val="24"/>
          <w:szCs w:val="24"/>
        </w:rPr>
      </w:pPr>
    </w:p>
    <w:p w14:paraId="00000017" w14:textId="77777777" w:rsidR="001C476F" w:rsidRDefault="008F5ECA">
      <w:pPr>
        <w:spacing w:before="240" w:after="240"/>
        <w:rPr>
          <w:rFonts w:ascii="Calibri" w:eastAsia="Calibri" w:hAnsi="Calibri" w:cs="Calibri"/>
          <w:sz w:val="24"/>
          <w:szCs w:val="24"/>
        </w:rPr>
      </w:pPr>
      <w:r>
        <w:rPr>
          <w:rFonts w:ascii="Calibri" w:eastAsia="Calibri" w:hAnsi="Calibri" w:cs="Calibri"/>
          <w:b/>
          <w:i/>
          <w:sz w:val="24"/>
          <w:szCs w:val="24"/>
        </w:rPr>
        <w:t xml:space="preserve">3) </w:t>
      </w:r>
      <w:proofErr w:type="gramStart"/>
      <w:r>
        <w:rPr>
          <w:rFonts w:ascii="Calibri" w:eastAsia="Calibri" w:hAnsi="Calibri" w:cs="Calibri"/>
          <w:b/>
          <w:i/>
          <w:sz w:val="24"/>
          <w:szCs w:val="24"/>
        </w:rPr>
        <w:t>Create</w:t>
      </w:r>
      <w:proofErr w:type="gramEnd"/>
      <w:r>
        <w:rPr>
          <w:rFonts w:ascii="Calibri" w:eastAsia="Calibri" w:hAnsi="Calibri" w:cs="Calibri"/>
          <w:b/>
          <w:i/>
          <w:sz w:val="24"/>
          <w:szCs w:val="24"/>
        </w:rPr>
        <w:t xml:space="preserve"> as much clarity around the DEIA effort as possible</w:t>
      </w:r>
    </w:p>
    <w:p w14:paraId="00000018"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Leadership author Simon Sinek says, “If you don’t know WHY, you can’t know HOW.” We recommend creating clarity from the outset for the DEIA effort, especially around the vision, resourcing, and other key questions.  Addressing the following, specific questions would be very helpful at ensuring the DEIA effort has the necessary clarity for a strong start right out of the gate.</w:t>
      </w:r>
    </w:p>
    <w:p w14:paraId="00000019" w14:textId="77777777" w:rsidR="001C476F" w:rsidRDefault="008F5ECA">
      <w:pPr>
        <w:numPr>
          <w:ilvl w:val="0"/>
          <w:numId w:val="4"/>
        </w:numPr>
        <w:spacing w:before="240"/>
        <w:rPr>
          <w:rFonts w:ascii="Calibri" w:eastAsia="Calibri" w:hAnsi="Calibri" w:cs="Calibri"/>
          <w:sz w:val="24"/>
          <w:szCs w:val="24"/>
        </w:rPr>
      </w:pPr>
      <w:r>
        <w:rPr>
          <w:rFonts w:ascii="Calibri" w:eastAsia="Calibri" w:hAnsi="Calibri" w:cs="Calibri"/>
          <w:sz w:val="24"/>
          <w:szCs w:val="24"/>
        </w:rPr>
        <w:t>What would the University Librarian like to see as long-term outcomes or changes within the University Library as a result of the DEIA effort?  (the vision)</w:t>
      </w:r>
    </w:p>
    <w:p w14:paraId="0000001A" w14:textId="77777777" w:rsidR="001C476F" w:rsidRDefault="008F5ECA">
      <w:pPr>
        <w:numPr>
          <w:ilvl w:val="0"/>
          <w:numId w:val="4"/>
        </w:numPr>
        <w:rPr>
          <w:rFonts w:ascii="Calibri" w:eastAsia="Calibri" w:hAnsi="Calibri" w:cs="Calibri"/>
          <w:sz w:val="24"/>
          <w:szCs w:val="24"/>
        </w:rPr>
      </w:pPr>
      <w:r>
        <w:rPr>
          <w:rFonts w:ascii="Calibri" w:eastAsia="Calibri" w:hAnsi="Calibri" w:cs="Calibri"/>
          <w:sz w:val="24"/>
          <w:szCs w:val="24"/>
        </w:rPr>
        <w:t>What would the University Librarian like to see more near-term as a result of the DEIA effort?</w:t>
      </w:r>
    </w:p>
    <w:p w14:paraId="0000001B" w14:textId="77777777" w:rsidR="001C476F" w:rsidRDefault="008F5ECA">
      <w:pPr>
        <w:numPr>
          <w:ilvl w:val="0"/>
          <w:numId w:val="4"/>
        </w:numPr>
        <w:rPr>
          <w:rFonts w:ascii="Calibri" w:eastAsia="Calibri" w:hAnsi="Calibri" w:cs="Calibri"/>
          <w:sz w:val="24"/>
          <w:szCs w:val="24"/>
        </w:rPr>
      </w:pPr>
      <w:r>
        <w:rPr>
          <w:rFonts w:ascii="Calibri" w:eastAsia="Calibri" w:hAnsi="Calibri" w:cs="Calibri"/>
          <w:sz w:val="24"/>
          <w:szCs w:val="24"/>
        </w:rPr>
        <w:t>What is the role of specific individuals/groups within Library Administration and shared governance in supporting the DEIA effort? (This is very important to clarify as it can be a point of confusion for Library employees, who will likely be involved in parts of the planning and implementation activities)</w:t>
      </w:r>
    </w:p>
    <w:p w14:paraId="0000001C" w14:textId="77777777" w:rsidR="001C476F" w:rsidRDefault="008F5ECA">
      <w:pPr>
        <w:numPr>
          <w:ilvl w:val="1"/>
          <w:numId w:val="4"/>
        </w:numPr>
        <w:rPr>
          <w:rFonts w:ascii="Calibri" w:eastAsia="Calibri" w:hAnsi="Calibri" w:cs="Calibri"/>
          <w:sz w:val="24"/>
          <w:szCs w:val="24"/>
        </w:rPr>
      </w:pPr>
      <w:r>
        <w:rPr>
          <w:rFonts w:ascii="Calibri" w:eastAsia="Calibri" w:hAnsi="Calibri" w:cs="Calibri"/>
          <w:sz w:val="24"/>
          <w:szCs w:val="24"/>
        </w:rPr>
        <w:t>University Librarian’s role</w:t>
      </w:r>
    </w:p>
    <w:p w14:paraId="0000001D" w14:textId="77777777" w:rsidR="001C476F" w:rsidRDefault="008F5ECA">
      <w:pPr>
        <w:numPr>
          <w:ilvl w:val="1"/>
          <w:numId w:val="4"/>
        </w:numPr>
        <w:rPr>
          <w:rFonts w:ascii="Calibri" w:eastAsia="Calibri" w:hAnsi="Calibri" w:cs="Calibri"/>
          <w:sz w:val="24"/>
          <w:szCs w:val="24"/>
        </w:rPr>
      </w:pPr>
      <w:r>
        <w:rPr>
          <w:rFonts w:ascii="Calibri" w:eastAsia="Calibri" w:hAnsi="Calibri" w:cs="Calibri"/>
          <w:sz w:val="24"/>
          <w:szCs w:val="24"/>
        </w:rPr>
        <w:t>The Cabinet’s role</w:t>
      </w:r>
    </w:p>
    <w:p w14:paraId="0000001E" w14:textId="77777777" w:rsidR="001C476F" w:rsidRDefault="008F5ECA">
      <w:pPr>
        <w:numPr>
          <w:ilvl w:val="1"/>
          <w:numId w:val="4"/>
        </w:numPr>
        <w:rPr>
          <w:rFonts w:ascii="Calibri" w:eastAsia="Calibri" w:hAnsi="Calibri" w:cs="Calibri"/>
          <w:sz w:val="24"/>
          <w:szCs w:val="24"/>
        </w:rPr>
      </w:pPr>
      <w:r>
        <w:rPr>
          <w:rFonts w:ascii="Calibri" w:eastAsia="Calibri" w:hAnsi="Calibri" w:cs="Calibri"/>
          <w:sz w:val="24"/>
          <w:szCs w:val="24"/>
        </w:rPr>
        <w:t>EC’s role</w:t>
      </w:r>
    </w:p>
    <w:p w14:paraId="0000001F" w14:textId="77777777" w:rsidR="001C476F" w:rsidRDefault="008F5ECA">
      <w:pPr>
        <w:numPr>
          <w:ilvl w:val="1"/>
          <w:numId w:val="4"/>
        </w:numPr>
        <w:rPr>
          <w:rFonts w:ascii="Calibri" w:eastAsia="Calibri" w:hAnsi="Calibri" w:cs="Calibri"/>
          <w:sz w:val="24"/>
          <w:szCs w:val="24"/>
        </w:rPr>
      </w:pPr>
      <w:r>
        <w:rPr>
          <w:rFonts w:ascii="Calibri" w:eastAsia="Calibri" w:hAnsi="Calibri" w:cs="Calibri"/>
          <w:sz w:val="24"/>
          <w:szCs w:val="24"/>
        </w:rPr>
        <w:t>AC’s role</w:t>
      </w:r>
    </w:p>
    <w:p w14:paraId="00000020" w14:textId="77777777" w:rsidR="001C476F" w:rsidRDefault="008F5ECA">
      <w:pPr>
        <w:numPr>
          <w:ilvl w:val="1"/>
          <w:numId w:val="4"/>
        </w:numPr>
        <w:rPr>
          <w:rFonts w:ascii="Calibri" w:eastAsia="Calibri" w:hAnsi="Calibri" w:cs="Calibri"/>
          <w:sz w:val="24"/>
          <w:szCs w:val="24"/>
        </w:rPr>
      </w:pPr>
      <w:r>
        <w:rPr>
          <w:rFonts w:ascii="Calibri" w:eastAsia="Calibri" w:hAnsi="Calibri" w:cs="Calibri"/>
          <w:sz w:val="24"/>
          <w:szCs w:val="24"/>
        </w:rPr>
        <w:t>AULs’ roles</w:t>
      </w:r>
    </w:p>
    <w:p w14:paraId="00000021" w14:textId="77777777" w:rsidR="001C476F" w:rsidRDefault="008F5ECA">
      <w:pPr>
        <w:numPr>
          <w:ilvl w:val="1"/>
          <w:numId w:val="4"/>
        </w:numPr>
        <w:rPr>
          <w:rFonts w:ascii="Calibri" w:eastAsia="Calibri" w:hAnsi="Calibri" w:cs="Calibri"/>
          <w:sz w:val="24"/>
          <w:szCs w:val="24"/>
        </w:rPr>
      </w:pPr>
      <w:r>
        <w:rPr>
          <w:rFonts w:ascii="Calibri" w:eastAsia="Calibri" w:hAnsi="Calibri" w:cs="Calibri"/>
          <w:sz w:val="24"/>
          <w:szCs w:val="24"/>
        </w:rPr>
        <w:t>Director of Reference and Research Services, Director of Library Teaching and Learning, Director of Library Fulfillment</w:t>
      </w:r>
    </w:p>
    <w:p w14:paraId="00000022" w14:textId="77777777" w:rsidR="001C476F" w:rsidRDefault="008F5ECA">
      <w:pPr>
        <w:numPr>
          <w:ilvl w:val="1"/>
          <w:numId w:val="4"/>
        </w:numPr>
        <w:rPr>
          <w:rFonts w:ascii="Calibri" w:eastAsia="Calibri" w:hAnsi="Calibri" w:cs="Calibri"/>
          <w:sz w:val="24"/>
          <w:szCs w:val="24"/>
        </w:rPr>
      </w:pPr>
      <w:r>
        <w:rPr>
          <w:rFonts w:ascii="Calibri" w:eastAsia="Calibri" w:hAnsi="Calibri" w:cs="Calibri"/>
          <w:sz w:val="24"/>
          <w:szCs w:val="24"/>
        </w:rPr>
        <w:lastRenderedPageBreak/>
        <w:t>Head of HR’s role</w:t>
      </w:r>
    </w:p>
    <w:p w14:paraId="00000023" w14:textId="77777777" w:rsidR="001C476F" w:rsidRDefault="008F5ECA">
      <w:pPr>
        <w:numPr>
          <w:ilvl w:val="1"/>
          <w:numId w:val="4"/>
        </w:numPr>
        <w:rPr>
          <w:rFonts w:ascii="Calibri" w:eastAsia="Calibri" w:hAnsi="Calibri" w:cs="Calibri"/>
          <w:sz w:val="24"/>
          <w:szCs w:val="24"/>
        </w:rPr>
      </w:pPr>
      <w:r>
        <w:rPr>
          <w:rFonts w:ascii="Calibri" w:eastAsia="Calibri" w:hAnsi="Calibri" w:cs="Calibri"/>
          <w:sz w:val="24"/>
          <w:szCs w:val="24"/>
        </w:rPr>
        <w:t>Associate Director of Diversity, Equity, Inclusion &amp; Accessibility role (should it be hired in the future)</w:t>
      </w:r>
    </w:p>
    <w:p w14:paraId="00000024" w14:textId="77777777" w:rsidR="001C476F" w:rsidRDefault="008F5ECA">
      <w:pPr>
        <w:numPr>
          <w:ilvl w:val="0"/>
          <w:numId w:val="4"/>
        </w:numPr>
        <w:spacing w:after="240"/>
        <w:rPr>
          <w:rFonts w:ascii="Calibri" w:eastAsia="Calibri" w:hAnsi="Calibri" w:cs="Calibri"/>
          <w:sz w:val="24"/>
          <w:szCs w:val="24"/>
        </w:rPr>
      </w:pPr>
      <w:r>
        <w:rPr>
          <w:rFonts w:ascii="Calibri" w:eastAsia="Calibri" w:hAnsi="Calibri" w:cs="Calibri"/>
          <w:sz w:val="24"/>
          <w:szCs w:val="24"/>
        </w:rPr>
        <w:t>What resources (financial and personnel) can the Library devote to the DEIA effort?</w:t>
      </w:r>
    </w:p>
    <w:p w14:paraId="00000025" w14:textId="77777777" w:rsidR="001C476F" w:rsidRDefault="008F5ECA">
      <w:pPr>
        <w:spacing w:before="240" w:after="240"/>
        <w:ind w:left="720"/>
        <w:rPr>
          <w:rFonts w:ascii="Calibri" w:eastAsia="Calibri" w:hAnsi="Calibri" w:cs="Calibri"/>
          <w:sz w:val="24"/>
          <w:szCs w:val="24"/>
        </w:rPr>
      </w:pPr>
      <w:r>
        <w:rPr>
          <w:rFonts w:ascii="Calibri" w:eastAsia="Calibri" w:hAnsi="Calibri" w:cs="Calibri"/>
          <w:b/>
          <w:i/>
          <w:sz w:val="24"/>
          <w:szCs w:val="24"/>
        </w:rPr>
        <w:t>Note:  In discussing what we’ve learned from our experiences in past DEIA efforts at the Library or other organizations, we recognize that DEIA work can attract passionate individuals who may not actually have the time and availability to work on the DEIA effort. So those enlisting to help in the effort need to be very clear on their level of commitment and ability to see it through. Individuals participating in the DEIA effort should obtain/have the support of their supervisors so they are not penalized during performance evaluations or annual reports for other work set aside to allow their contributions to the DEIA effort</w:t>
      </w:r>
      <w:r>
        <w:rPr>
          <w:rFonts w:ascii="Calibri" w:eastAsia="Calibri" w:hAnsi="Calibri" w:cs="Calibri"/>
          <w:sz w:val="24"/>
          <w:szCs w:val="24"/>
        </w:rPr>
        <w:t>.</w:t>
      </w:r>
    </w:p>
    <w:p w14:paraId="00000026" w14:textId="77777777" w:rsidR="001C476F" w:rsidRDefault="008F5ECA">
      <w:pPr>
        <w:spacing w:before="240" w:after="240"/>
        <w:ind w:left="720"/>
        <w:rPr>
          <w:rFonts w:ascii="Calibri" w:eastAsia="Calibri" w:hAnsi="Calibri" w:cs="Calibri"/>
          <w:sz w:val="24"/>
          <w:szCs w:val="24"/>
        </w:rPr>
      </w:pPr>
      <w:r>
        <w:rPr>
          <w:rFonts w:ascii="Calibri" w:eastAsia="Calibri" w:hAnsi="Calibri" w:cs="Calibri"/>
          <w:b/>
          <w:i/>
          <w:sz w:val="24"/>
          <w:szCs w:val="24"/>
        </w:rPr>
        <w:t>Furthermore, given the challenges described above with handling nuanced dialog about power, privilege, and race, we highly recommend ensuring strong facilitation expertise and experience is integral to the DEIA effort.  An external facilitator may be advantageous as they can be neutral and avoid internal conflicts of interest, provide fresh perspective, and help signal the importance and value the Library is investing in the DEIA effort. This can also help avoid the tendency where Library employees from certain backgrounds or roles may inadvertently be burdened with leading or doing the heavy lifting of the DEIA effort as the most obvious ‘internal’ choice.</w:t>
      </w:r>
    </w:p>
    <w:p w14:paraId="00000027" w14:textId="77777777" w:rsidR="001C476F" w:rsidRDefault="008F5ECA">
      <w:pPr>
        <w:numPr>
          <w:ilvl w:val="0"/>
          <w:numId w:val="4"/>
        </w:numPr>
        <w:spacing w:before="240" w:after="240"/>
        <w:rPr>
          <w:rFonts w:ascii="Calibri" w:eastAsia="Calibri" w:hAnsi="Calibri" w:cs="Calibri"/>
          <w:sz w:val="24"/>
          <w:szCs w:val="24"/>
        </w:rPr>
      </w:pPr>
      <w:r>
        <w:rPr>
          <w:rFonts w:ascii="Calibri" w:eastAsia="Calibri" w:hAnsi="Calibri" w:cs="Calibri"/>
          <w:sz w:val="24"/>
          <w:szCs w:val="24"/>
        </w:rPr>
        <w:t xml:space="preserve">How will Library employees experience/participate in the DEIA effort?  What accountability mechanisms can and should be used to help everyone understand their responsibilities for contributing to a safe, welcoming, and inclusive environment? </w:t>
      </w:r>
    </w:p>
    <w:p w14:paraId="00000028" w14:textId="77777777" w:rsidR="001C476F" w:rsidRDefault="008F5ECA">
      <w:pPr>
        <w:spacing w:before="240" w:after="240"/>
        <w:ind w:left="720"/>
        <w:rPr>
          <w:rFonts w:ascii="Calibri" w:eastAsia="Calibri" w:hAnsi="Calibri" w:cs="Calibri"/>
          <w:b/>
          <w:i/>
          <w:sz w:val="24"/>
          <w:szCs w:val="24"/>
        </w:rPr>
      </w:pPr>
      <w:r>
        <w:rPr>
          <w:rFonts w:ascii="Calibri" w:eastAsia="Calibri" w:hAnsi="Calibri" w:cs="Calibri"/>
          <w:b/>
          <w:i/>
          <w:sz w:val="24"/>
          <w:szCs w:val="24"/>
        </w:rPr>
        <w:t xml:space="preserve">Note:  This is a difficult question. Those who would most benefit from any DEIA training or activities may not participate if it is not mandatory, which can greatly undermine DEIA efforts when it comes to promoting inclusive and welcoming behavior.  However, mandated participation can create resistance among some employees who dislike the feeling of being forced to comply. We recommend an approach that requires participation but provides a very positive experience, i.e., “wins hearts and minds.”  As recommended above, an external facilitator who specializes in providing DEIA training and facilitation (potentially a member of the academic community or a consultant who has been carefully vetted) helps communicate an organizational commitment to the value and importance around the effort, and can also create heightened interest and excitement. They can also frame the DEIA effort in a constructive way to help reduce defensive behavior and feelings of </w:t>
      </w:r>
      <w:r>
        <w:rPr>
          <w:rFonts w:ascii="Calibri" w:eastAsia="Calibri" w:hAnsi="Calibri" w:cs="Calibri"/>
          <w:b/>
          <w:i/>
          <w:sz w:val="24"/>
          <w:szCs w:val="24"/>
        </w:rPr>
        <w:lastRenderedPageBreak/>
        <w:t>being judged, which can inhibit participation.  As much as possible, we encourage that the DEIA effort (and any conflict resolution) be centered around finding common ground and problem-solving, and avoid placing blame or setting up a win/lose dynamic</w:t>
      </w:r>
      <w:r>
        <w:rPr>
          <w:rFonts w:ascii="Calibri" w:eastAsia="Calibri" w:hAnsi="Calibri" w:cs="Calibri"/>
          <w:sz w:val="24"/>
          <w:szCs w:val="24"/>
        </w:rPr>
        <w:t>.</w:t>
      </w:r>
    </w:p>
    <w:p w14:paraId="00000029" w14:textId="77777777" w:rsidR="001C476F" w:rsidRDefault="008F5ECA">
      <w:pPr>
        <w:numPr>
          <w:ilvl w:val="0"/>
          <w:numId w:val="4"/>
        </w:numPr>
        <w:spacing w:before="240"/>
        <w:rPr>
          <w:rFonts w:ascii="Calibri" w:eastAsia="Calibri" w:hAnsi="Calibri" w:cs="Calibri"/>
          <w:sz w:val="24"/>
          <w:szCs w:val="24"/>
        </w:rPr>
      </w:pPr>
      <w:r>
        <w:rPr>
          <w:rFonts w:ascii="Calibri" w:eastAsia="Calibri" w:hAnsi="Calibri" w:cs="Calibri"/>
          <w:sz w:val="24"/>
          <w:szCs w:val="24"/>
        </w:rPr>
        <w:t>What near-term goals can advance us towards the long-term vision?  (Should</w:t>
      </w:r>
      <w:r>
        <w:rPr>
          <w:rFonts w:ascii="Calibri" w:eastAsia="Calibri" w:hAnsi="Calibri" w:cs="Calibri"/>
          <w:b/>
          <w:i/>
          <w:sz w:val="24"/>
          <w:szCs w:val="24"/>
        </w:rPr>
        <w:t xml:space="preserve"> </w:t>
      </w:r>
      <w:r>
        <w:rPr>
          <w:rFonts w:ascii="Calibri" w:eastAsia="Calibri" w:hAnsi="Calibri" w:cs="Calibri"/>
          <w:sz w:val="24"/>
          <w:szCs w:val="24"/>
        </w:rPr>
        <w:t>a task</w:t>
      </w:r>
      <w:r>
        <w:rPr>
          <w:rFonts w:ascii="Calibri" w:eastAsia="Calibri" w:hAnsi="Calibri" w:cs="Calibri"/>
          <w:b/>
          <w:i/>
          <w:sz w:val="24"/>
          <w:szCs w:val="24"/>
        </w:rPr>
        <w:t xml:space="preserve"> </w:t>
      </w:r>
      <w:r>
        <w:rPr>
          <w:rFonts w:ascii="Calibri" w:eastAsia="Calibri" w:hAnsi="Calibri" w:cs="Calibri"/>
          <w:sz w:val="24"/>
          <w:szCs w:val="24"/>
        </w:rPr>
        <w:t>force be appointed, they could help with developing the answers to 6-10 as part of their work).</w:t>
      </w:r>
    </w:p>
    <w:p w14:paraId="0000002A" w14:textId="77777777" w:rsidR="001C476F" w:rsidRDefault="008F5ECA">
      <w:pPr>
        <w:numPr>
          <w:ilvl w:val="0"/>
          <w:numId w:val="4"/>
        </w:numPr>
        <w:rPr>
          <w:rFonts w:ascii="Calibri" w:eastAsia="Calibri" w:hAnsi="Calibri" w:cs="Calibri"/>
          <w:sz w:val="24"/>
          <w:szCs w:val="24"/>
        </w:rPr>
      </w:pPr>
      <w:r>
        <w:rPr>
          <w:rFonts w:ascii="Calibri" w:eastAsia="Calibri" w:hAnsi="Calibri" w:cs="Calibri"/>
          <w:sz w:val="24"/>
          <w:szCs w:val="24"/>
        </w:rPr>
        <w:t>What measurements can we use to determine if our goals are successfully advancing us towards the DEIA vision, and how effective they are?</w:t>
      </w:r>
    </w:p>
    <w:p w14:paraId="0000002B" w14:textId="77777777" w:rsidR="001C476F" w:rsidRDefault="008F5ECA">
      <w:pPr>
        <w:numPr>
          <w:ilvl w:val="0"/>
          <w:numId w:val="4"/>
        </w:numPr>
        <w:rPr>
          <w:rFonts w:ascii="Calibri" w:eastAsia="Calibri" w:hAnsi="Calibri" w:cs="Calibri"/>
          <w:sz w:val="24"/>
          <w:szCs w:val="24"/>
        </w:rPr>
      </w:pPr>
      <w:r>
        <w:rPr>
          <w:rFonts w:ascii="Calibri" w:eastAsia="Calibri" w:hAnsi="Calibri" w:cs="Calibri"/>
          <w:sz w:val="24"/>
          <w:szCs w:val="24"/>
        </w:rPr>
        <w:t xml:space="preserve">What additional campus or external resources may be available to us to support us? </w:t>
      </w:r>
    </w:p>
    <w:p w14:paraId="0000002C" w14:textId="77777777" w:rsidR="001C476F" w:rsidRDefault="008F5ECA">
      <w:pPr>
        <w:numPr>
          <w:ilvl w:val="0"/>
          <w:numId w:val="4"/>
        </w:numPr>
        <w:rPr>
          <w:rFonts w:ascii="Calibri" w:eastAsia="Calibri" w:hAnsi="Calibri" w:cs="Calibri"/>
          <w:sz w:val="24"/>
          <w:szCs w:val="24"/>
        </w:rPr>
      </w:pPr>
      <w:r>
        <w:rPr>
          <w:rFonts w:ascii="Calibri" w:eastAsia="Calibri" w:hAnsi="Calibri" w:cs="Calibri"/>
          <w:sz w:val="24"/>
          <w:szCs w:val="24"/>
        </w:rPr>
        <w:t>What communication strategies should be used to keep key Library groups apprised of progress (see Question 3)?  Specifically, how regularly should the task force apprise the University Librarian and through what method?</w:t>
      </w:r>
    </w:p>
    <w:p w14:paraId="0000002D" w14:textId="77777777" w:rsidR="001C476F" w:rsidRDefault="008F5ECA">
      <w:pPr>
        <w:numPr>
          <w:ilvl w:val="0"/>
          <w:numId w:val="4"/>
        </w:numPr>
        <w:spacing w:after="240"/>
        <w:rPr>
          <w:rFonts w:ascii="Calibri" w:eastAsia="Calibri" w:hAnsi="Calibri" w:cs="Calibri"/>
          <w:sz w:val="24"/>
          <w:szCs w:val="24"/>
        </w:rPr>
      </w:pPr>
      <w:r>
        <w:rPr>
          <w:rFonts w:ascii="Calibri" w:eastAsia="Calibri" w:hAnsi="Calibri" w:cs="Calibri"/>
          <w:sz w:val="24"/>
          <w:szCs w:val="24"/>
        </w:rPr>
        <w:t>What employee-related processes should be evaluated for changes that create a more holistic ecosystem for supporting DEIA at the library?</w:t>
      </w:r>
    </w:p>
    <w:p w14:paraId="0000002E" w14:textId="77777777" w:rsidR="001C476F" w:rsidRDefault="008F5ECA">
      <w:pPr>
        <w:spacing w:before="240" w:after="240"/>
        <w:ind w:left="720"/>
        <w:rPr>
          <w:rFonts w:ascii="Calibri" w:eastAsia="Calibri" w:hAnsi="Calibri" w:cs="Calibri"/>
          <w:sz w:val="24"/>
          <w:szCs w:val="24"/>
        </w:rPr>
      </w:pPr>
      <w:r>
        <w:rPr>
          <w:rFonts w:ascii="Calibri" w:eastAsia="Calibri" w:hAnsi="Calibri" w:cs="Calibri"/>
          <w:b/>
          <w:i/>
          <w:sz w:val="24"/>
          <w:szCs w:val="24"/>
        </w:rPr>
        <w:t>Note:  For example, performance evaluations and annual reports could include criteria about how individuals and teams support a welcoming and inclusive environment.  Job descriptions can include knowledge, skills, or abilities relating to DEIA.  Search committees can also be encouraged to ask questions about how candidates have contributed to DEIA efforts in the past.  These measures will reinforce the importance of DEIA work in the Library and help it become a part of the fabric of the Library for long term sustainability.</w:t>
      </w:r>
    </w:p>
    <w:p w14:paraId="0000002F"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rPr>
        <w:tab/>
        <w:t xml:space="preserve"> </w:t>
      </w:r>
    </w:p>
    <w:p w14:paraId="00000030" w14:textId="77777777" w:rsidR="001C476F" w:rsidRDefault="008F5ECA">
      <w:pPr>
        <w:spacing w:before="240" w:after="240"/>
        <w:rPr>
          <w:rFonts w:ascii="Calibri" w:eastAsia="Calibri" w:hAnsi="Calibri" w:cs="Calibri"/>
          <w:b/>
          <w:sz w:val="24"/>
          <w:szCs w:val="24"/>
        </w:rPr>
      </w:pPr>
      <w:r>
        <w:rPr>
          <w:rFonts w:ascii="Calibri" w:eastAsia="Calibri" w:hAnsi="Calibri" w:cs="Calibri"/>
          <w:b/>
          <w:sz w:val="24"/>
          <w:szCs w:val="24"/>
        </w:rPr>
        <w:t>Summary</w:t>
      </w:r>
    </w:p>
    <w:p w14:paraId="00000031" w14:textId="77777777" w:rsidR="001C476F" w:rsidRDefault="008F5ECA">
      <w:pPr>
        <w:spacing w:before="240" w:after="240"/>
        <w:rPr>
          <w:rFonts w:ascii="Calibri" w:eastAsia="Calibri" w:hAnsi="Calibri" w:cs="Calibri"/>
          <w:sz w:val="24"/>
          <w:szCs w:val="24"/>
        </w:rPr>
      </w:pPr>
      <w:r>
        <w:rPr>
          <w:rFonts w:ascii="Calibri" w:eastAsia="Calibri" w:hAnsi="Calibri" w:cs="Calibri"/>
          <w:sz w:val="24"/>
          <w:szCs w:val="24"/>
        </w:rPr>
        <w:t xml:space="preserve">By pooling our perspectives and ideas around this topic, and taking some steps to break down and define questions and challenges we anticipate arising in a broad effort, we hope to help us, as an organization, move closer to identifying potential solutions that advance the diversity, equity, and inclusiveness within the Library. </w:t>
      </w:r>
    </w:p>
    <w:p w14:paraId="00000032" w14:textId="77777777" w:rsidR="001C476F" w:rsidRDefault="0067647B">
      <w:pPr>
        <w:rPr>
          <w:rFonts w:ascii="Calibri" w:eastAsia="Calibri" w:hAnsi="Calibri" w:cs="Calibri"/>
          <w:sz w:val="24"/>
          <w:szCs w:val="24"/>
        </w:rPr>
      </w:pPr>
      <w:r>
        <w:pict w14:anchorId="187EB869">
          <v:rect id="_x0000_i1025" style="width:0;height:1.5pt" o:hralign="center" o:hrstd="t" o:hr="t" fillcolor="#a0a0a0" stroked="f"/>
        </w:pict>
      </w:r>
    </w:p>
    <w:p w14:paraId="04FE74B4" w14:textId="77777777" w:rsidR="00AA5E55" w:rsidRDefault="00AA5E55">
      <w:pPr>
        <w:rPr>
          <w:rFonts w:ascii="Calibri" w:eastAsia="Calibri" w:hAnsi="Calibri" w:cs="Calibri"/>
          <w:b/>
          <w:sz w:val="24"/>
          <w:szCs w:val="24"/>
        </w:rPr>
      </w:pPr>
      <w:r>
        <w:rPr>
          <w:rFonts w:ascii="Calibri" w:eastAsia="Calibri" w:hAnsi="Calibri" w:cs="Calibri"/>
          <w:b/>
          <w:sz w:val="24"/>
          <w:szCs w:val="24"/>
        </w:rPr>
        <w:br w:type="page"/>
      </w:r>
    </w:p>
    <w:p w14:paraId="00000033" w14:textId="4E21E296" w:rsidR="001C476F" w:rsidRDefault="008F5ECA">
      <w:pPr>
        <w:spacing w:before="240" w:after="240"/>
        <w:rPr>
          <w:rFonts w:ascii="Calibri" w:eastAsia="Calibri" w:hAnsi="Calibri" w:cs="Calibri"/>
          <w:sz w:val="24"/>
          <w:szCs w:val="24"/>
        </w:rPr>
      </w:pPr>
      <w:r>
        <w:rPr>
          <w:rFonts w:ascii="Calibri" w:eastAsia="Calibri" w:hAnsi="Calibri" w:cs="Calibri"/>
          <w:b/>
          <w:sz w:val="24"/>
          <w:szCs w:val="24"/>
        </w:rPr>
        <w:lastRenderedPageBreak/>
        <w:t>Appendix</w:t>
      </w:r>
    </w:p>
    <w:p w14:paraId="00000034" w14:textId="77777777" w:rsidR="001C476F" w:rsidRDefault="008F5ECA">
      <w:pPr>
        <w:rPr>
          <w:rFonts w:ascii="Calibri" w:eastAsia="Calibri" w:hAnsi="Calibri" w:cs="Calibri"/>
          <w:b/>
          <w:sz w:val="24"/>
          <w:szCs w:val="24"/>
        </w:rPr>
      </w:pPr>
      <w:r>
        <w:rPr>
          <w:rFonts w:ascii="Calibri" w:eastAsia="Calibri" w:hAnsi="Calibri" w:cs="Calibri"/>
          <w:b/>
          <w:sz w:val="24"/>
          <w:szCs w:val="24"/>
        </w:rPr>
        <w:t>Proposed draft charge for consideration.</w:t>
      </w:r>
    </w:p>
    <w:p w14:paraId="00000035" w14:textId="77777777" w:rsidR="001C476F" w:rsidRDefault="001C476F">
      <w:pPr>
        <w:rPr>
          <w:rFonts w:ascii="Calibri" w:eastAsia="Calibri" w:hAnsi="Calibri" w:cs="Calibri"/>
          <w:sz w:val="24"/>
          <w:szCs w:val="24"/>
        </w:rPr>
      </w:pPr>
    </w:p>
    <w:p w14:paraId="00000036" w14:textId="77777777" w:rsidR="001C476F" w:rsidRDefault="008F5ECA">
      <w:pPr>
        <w:rPr>
          <w:rFonts w:ascii="Calibri" w:eastAsia="Calibri" w:hAnsi="Calibri" w:cs="Calibri"/>
          <w:sz w:val="24"/>
          <w:szCs w:val="24"/>
        </w:rPr>
      </w:pPr>
      <w:r>
        <w:rPr>
          <w:rFonts w:ascii="Calibri" w:eastAsia="Calibri" w:hAnsi="Calibri" w:cs="Calibri"/>
          <w:sz w:val="24"/>
          <w:szCs w:val="24"/>
        </w:rPr>
        <w:t>The Diversity, Equity, and Inclusion (DEIA) Task Force consists of</w:t>
      </w:r>
    </w:p>
    <w:p w14:paraId="00000037" w14:textId="77777777" w:rsidR="001C476F" w:rsidRDefault="008F5ECA">
      <w:pPr>
        <w:numPr>
          <w:ilvl w:val="0"/>
          <w:numId w:val="2"/>
        </w:numPr>
        <w:rPr>
          <w:rFonts w:ascii="Calibri" w:eastAsia="Calibri" w:hAnsi="Calibri" w:cs="Calibri"/>
          <w:sz w:val="24"/>
          <w:szCs w:val="24"/>
        </w:rPr>
      </w:pPr>
      <w:r>
        <w:rPr>
          <w:rFonts w:ascii="Calibri" w:eastAsia="Calibri" w:hAnsi="Calibri" w:cs="Calibri"/>
          <w:sz w:val="24"/>
          <w:szCs w:val="24"/>
        </w:rPr>
        <w:t>Representation from the Diversity committee</w:t>
      </w:r>
    </w:p>
    <w:p w14:paraId="00000038" w14:textId="77777777" w:rsidR="001C476F" w:rsidRDefault="008F5ECA">
      <w:pPr>
        <w:numPr>
          <w:ilvl w:val="0"/>
          <w:numId w:val="2"/>
        </w:numPr>
        <w:rPr>
          <w:rFonts w:ascii="Calibri" w:eastAsia="Calibri" w:hAnsi="Calibri" w:cs="Calibri"/>
          <w:sz w:val="24"/>
          <w:szCs w:val="24"/>
        </w:rPr>
      </w:pPr>
      <w:r>
        <w:rPr>
          <w:rFonts w:ascii="Calibri" w:eastAsia="Calibri" w:hAnsi="Calibri" w:cs="Calibri"/>
          <w:sz w:val="24"/>
          <w:szCs w:val="24"/>
        </w:rPr>
        <w:t>Representation from the Organization Development &amp; Training Advisory Committee</w:t>
      </w:r>
    </w:p>
    <w:p w14:paraId="00000039" w14:textId="77777777" w:rsidR="001C476F" w:rsidRDefault="008F5ECA">
      <w:pPr>
        <w:numPr>
          <w:ilvl w:val="0"/>
          <w:numId w:val="2"/>
        </w:numPr>
        <w:rPr>
          <w:rFonts w:ascii="Calibri" w:eastAsia="Calibri" w:hAnsi="Calibri" w:cs="Calibri"/>
          <w:sz w:val="24"/>
          <w:szCs w:val="24"/>
        </w:rPr>
      </w:pPr>
      <w:r>
        <w:rPr>
          <w:rFonts w:ascii="Calibri" w:eastAsia="Calibri" w:hAnsi="Calibri" w:cs="Calibri"/>
          <w:sz w:val="24"/>
          <w:szCs w:val="24"/>
        </w:rPr>
        <w:t>Representation from Library Human Resources</w:t>
      </w:r>
    </w:p>
    <w:p w14:paraId="0000003A" w14:textId="77777777" w:rsidR="001C476F" w:rsidRDefault="008F5ECA">
      <w:pPr>
        <w:numPr>
          <w:ilvl w:val="0"/>
          <w:numId w:val="2"/>
        </w:numPr>
        <w:rPr>
          <w:rFonts w:ascii="Calibri" w:eastAsia="Calibri" w:hAnsi="Calibri" w:cs="Calibri"/>
          <w:sz w:val="24"/>
          <w:szCs w:val="24"/>
        </w:rPr>
      </w:pPr>
      <w:r>
        <w:rPr>
          <w:rFonts w:ascii="Calibri" w:eastAsia="Calibri" w:hAnsi="Calibri" w:cs="Calibri"/>
          <w:sz w:val="24"/>
          <w:szCs w:val="24"/>
        </w:rPr>
        <w:t>Representation from Library Administration (a visible leadership role)</w:t>
      </w:r>
    </w:p>
    <w:p w14:paraId="0000003B" w14:textId="77777777" w:rsidR="001C476F" w:rsidRDefault="008F5ECA">
      <w:pPr>
        <w:numPr>
          <w:ilvl w:val="0"/>
          <w:numId w:val="2"/>
        </w:numPr>
        <w:rPr>
          <w:rFonts w:ascii="Calibri" w:eastAsia="Calibri" w:hAnsi="Calibri" w:cs="Calibri"/>
          <w:sz w:val="24"/>
          <w:szCs w:val="24"/>
        </w:rPr>
      </w:pPr>
      <w:r>
        <w:rPr>
          <w:rFonts w:ascii="Calibri" w:eastAsia="Calibri" w:hAnsi="Calibri" w:cs="Calibri"/>
          <w:sz w:val="24"/>
          <w:szCs w:val="24"/>
        </w:rPr>
        <w:t xml:space="preserve">Representation from LSSC &amp; LCAP &amp; Faculty </w:t>
      </w:r>
    </w:p>
    <w:p w14:paraId="0000003C" w14:textId="77777777" w:rsidR="001C476F" w:rsidRDefault="008F5ECA">
      <w:pPr>
        <w:numPr>
          <w:ilvl w:val="0"/>
          <w:numId w:val="2"/>
        </w:numPr>
        <w:rPr>
          <w:rFonts w:ascii="Calibri" w:eastAsia="Calibri" w:hAnsi="Calibri" w:cs="Calibri"/>
          <w:sz w:val="24"/>
          <w:szCs w:val="24"/>
        </w:rPr>
      </w:pPr>
      <w:r>
        <w:rPr>
          <w:rFonts w:ascii="Calibri" w:eastAsia="Calibri" w:hAnsi="Calibri" w:cs="Calibri"/>
          <w:sz w:val="24"/>
          <w:szCs w:val="24"/>
        </w:rPr>
        <w:t>Associate Director of Diversity, Equity, Inclusion &amp; Accessibility role (should it be hired in the future)</w:t>
      </w:r>
    </w:p>
    <w:p w14:paraId="0000003D" w14:textId="77777777" w:rsidR="001C476F" w:rsidRDefault="008F5ECA">
      <w:pPr>
        <w:numPr>
          <w:ilvl w:val="0"/>
          <w:numId w:val="2"/>
        </w:numPr>
        <w:rPr>
          <w:rFonts w:ascii="Calibri" w:eastAsia="Calibri" w:hAnsi="Calibri" w:cs="Calibri"/>
          <w:sz w:val="24"/>
          <w:szCs w:val="24"/>
        </w:rPr>
      </w:pPr>
      <w:proofErr w:type="gramStart"/>
      <w:r>
        <w:rPr>
          <w:rFonts w:ascii="Calibri" w:eastAsia="Calibri" w:hAnsi="Calibri" w:cs="Calibri"/>
          <w:sz w:val="24"/>
          <w:szCs w:val="24"/>
        </w:rPr>
        <w:t>as</w:t>
      </w:r>
      <w:proofErr w:type="gramEnd"/>
      <w:r>
        <w:rPr>
          <w:rFonts w:ascii="Calibri" w:eastAsia="Calibri" w:hAnsi="Calibri" w:cs="Calibri"/>
          <w:sz w:val="24"/>
          <w:szCs w:val="24"/>
        </w:rPr>
        <w:t xml:space="preserve"> well as key employees with significant roles in the development of strategies and best practices with regards to diversity and inclusion.</w:t>
      </w:r>
    </w:p>
    <w:p w14:paraId="0000003E" w14:textId="77777777" w:rsidR="001C476F" w:rsidRDefault="001C476F">
      <w:pPr>
        <w:rPr>
          <w:rFonts w:ascii="Calibri" w:eastAsia="Calibri" w:hAnsi="Calibri" w:cs="Calibri"/>
          <w:sz w:val="24"/>
          <w:szCs w:val="24"/>
        </w:rPr>
      </w:pPr>
    </w:p>
    <w:p w14:paraId="0000003F" w14:textId="77777777" w:rsidR="001C476F" w:rsidRDefault="008F5ECA">
      <w:pPr>
        <w:rPr>
          <w:rFonts w:ascii="Calibri" w:eastAsia="Calibri" w:hAnsi="Calibri" w:cs="Calibri"/>
          <w:sz w:val="24"/>
          <w:szCs w:val="24"/>
        </w:rPr>
      </w:pPr>
      <w:r>
        <w:rPr>
          <w:rFonts w:ascii="Calibri" w:eastAsia="Calibri" w:hAnsi="Calibri" w:cs="Calibri"/>
          <w:sz w:val="24"/>
          <w:szCs w:val="24"/>
        </w:rPr>
        <w:t xml:space="preserve">The purpose of this task force is to </w:t>
      </w:r>
    </w:p>
    <w:p w14:paraId="00000040" w14:textId="77777777" w:rsidR="001C476F" w:rsidRDefault="008F5ECA">
      <w:pPr>
        <w:numPr>
          <w:ilvl w:val="0"/>
          <w:numId w:val="3"/>
        </w:numPr>
        <w:spacing w:before="240"/>
        <w:rPr>
          <w:rFonts w:ascii="Calibri" w:eastAsia="Calibri" w:hAnsi="Calibri" w:cs="Calibri"/>
          <w:sz w:val="24"/>
          <w:szCs w:val="24"/>
        </w:rPr>
      </w:pPr>
      <w:r>
        <w:rPr>
          <w:rFonts w:ascii="Calibri" w:eastAsia="Calibri" w:hAnsi="Calibri" w:cs="Calibri"/>
          <w:sz w:val="24"/>
          <w:szCs w:val="24"/>
        </w:rPr>
        <w:t xml:space="preserve">Develop, in concert with the University Librarian, specific near-term goals and objectives that support an established DEIA vision; make recommendations for the University Librarian to consider, fund, and implement. </w:t>
      </w:r>
    </w:p>
    <w:p w14:paraId="00000041" w14:textId="77777777" w:rsidR="001C476F" w:rsidRDefault="008F5ECA">
      <w:pPr>
        <w:numPr>
          <w:ilvl w:val="0"/>
          <w:numId w:val="3"/>
        </w:numPr>
        <w:rPr>
          <w:rFonts w:ascii="Calibri" w:eastAsia="Calibri" w:hAnsi="Calibri" w:cs="Calibri"/>
          <w:sz w:val="24"/>
          <w:szCs w:val="24"/>
        </w:rPr>
      </w:pPr>
      <w:r>
        <w:rPr>
          <w:rFonts w:ascii="Calibri" w:eastAsia="Calibri" w:hAnsi="Calibri" w:cs="Calibri"/>
          <w:sz w:val="24"/>
          <w:szCs w:val="24"/>
        </w:rPr>
        <w:t>Review and recommend practices or processes that help the Library improve DEIA efforts, such as</w:t>
      </w:r>
    </w:p>
    <w:p w14:paraId="00000042" w14:textId="77777777" w:rsidR="001C476F" w:rsidRDefault="008F5ECA">
      <w:pPr>
        <w:numPr>
          <w:ilvl w:val="1"/>
          <w:numId w:val="3"/>
        </w:numPr>
        <w:rPr>
          <w:rFonts w:ascii="Calibri" w:eastAsia="Calibri" w:hAnsi="Calibri" w:cs="Calibri"/>
          <w:sz w:val="24"/>
          <w:szCs w:val="24"/>
        </w:rPr>
      </w:pPr>
      <w:r>
        <w:rPr>
          <w:rFonts w:ascii="Calibri" w:eastAsia="Calibri" w:hAnsi="Calibri" w:cs="Calibri"/>
          <w:sz w:val="24"/>
          <w:szCs w:val="24"/>
        </w:rPr>
        <w:t xml:space="preserve">How to create visibility around existing work and partnerships that the Library has supporting DEIA (for example, University Archives’ partnerships with campus departments to recognize historic contributions from BIPOC University members). </w:t>
      </w:r>
    </w:p>
    <w:p w14:paraId="00000043" w14:textId="77777777" w:rsidR="001C476F" w:rsidRDefault="008F5ECA">
      <w:pPr>
        <w:numPr>
          <w:ilvl w:val="1"/>
          <w:numId w:val="3"/>
        </w:numPr>
        <w:rPr>
          <w:rFonts w:ascii="Calibri" w:eastAsia="Calibri" w:hAnsi="Calibri" w:cs="Calibri"/>
          <w:sz w:val="24"/>
          <w:szCs w:val="24"/>
        </w:rPr>
      </w:pPr>
      <w:r>
        <w:rPr>
          <w:rFonts w:ascii="Calibri" w:eastAsia="Calibri" w:hAnsi="Calibri" w:cs="Calibri"/>
          <w:sz w:val="24"/>
          <w:szCs w:val="24"/>
        </w:rPr>
        <w:t>How existing committees whose charges support DEIA work can better coordinate and communicate among themselves</w:t>
      </w:r>
    </w:p>
    <w:p w14:paraId="00000044" w14:textId="77777777" w:rsidR="001C476F" w:rsidRDefault="008F5ECA">
      <w:pPr>
        <w:numPr>
          <w:ilvl w:val="1"/>
          <w:numId w:val="3"/>
        </w:numPr>
        <w:rPr>
          <w:rFonts w:ascii="Calibri" w:eastAsia="Calibri" w:hAnsi="Calibri" w:cs="Calibri"/>
          <w:sz w:val="24"/>
          <w:szCs w:val="24"/>
        </w:rPr>
      </w:pPr>
      <w:r>
        <w:rPr>
          <w:rFonts w:ascii="Calibri" w:eastAsia="Calibri" w:hAnsi="Calibri" w:cs="Calibri"/>
          <w:sz w:val="24"/>
          <w:szCs w:val="24"/>
        </w:rPr>
        <w:t>How employees can make suggestions or requests for DEIA programming</w:t>
      </w:r>
    </w:p>
    <w:p w14:paraId="00000045" w14:textId="77777777" w:rsidR="001C476F" w:rsidRDefault="008F5ECA">
      <w:pPr>
        <w:numPr>
          <w:ilvl w:val="1"/>
          <w:numId w:val="3"/>
        </w:numPr>
        <w:rPr>
          <w:rFonts w:ascii="Calibri" w:eastAsia="Calibri" w:hAnsi="Calibri" w:cs="Calibri"/>
          <w:sz w:val="24"/>
          <w:szCs w:val="24"/>
        </w:rPr>
      </w:pPr>
      <w:r>
        <w:rPr>
          <w:rFonts w:ascii="Calibri" w:eastAsia="Calibri" w:hAnsi="Calibri" w:cs="Calibri"/>
          <w:sz w:val="24"/>
          <w:szCs w:val="24"/>
        </w:rPr>
        <w:t>How HR-related processes can be updated or changed to better support DEIA work</w:t>
      </w:r>
    </w:p>
    <w:p w14:paraId="00000046" w14:textId="77777777" w:rsidR="001C476F" w:rsidRDefault="008F5ECA">
      <w:pPr>
        <w:numPr>
          <w:ilvl w:val="0"/>
          <w:numId w:val="3"/>
        </w:numPr>
        <w:rPr>
          <w:rFonts w:ascii="Calibri" w:eastAsia="Calibri" w:hAnsi="Calibri" w:cs="Calibri"/>
          <w:sz w:val="24"/>
          <w:szCs w:val="24"/>
        </w:rPr>
      </w:pPr>
      <w:r>
        <w:rPr>
          <w:rFonts w:ascii="Calibri" w:eastAsia="Calibri" w:hAnsi="Calibri" w:cs="Calibri"/>
          <w:sz w:val="24"/>
          <w:szCs w:val="24"/>
        </w:rPr>
        <w:t>Identify opportunities to enhance engagement and outreach to campus and the surrounding community to support DEIA</w:t>
      </w:r>
    </w:p>
    <w:p w14:paraId="00000047" w14:textId="77777777" w:rsidR="001C476F" w:rsidRDefault="008F5ECA">
      <w:pPr>
        <w:numPr>
          <w:ilvl w:val="0"/>
          <w:numId w:val="3"/>
        </w:numPr>
        <w:rPr>
          <w:rFonts w:ascii="Calibri" w:eastAsia="Calibri" w:hAnsi="Calibri" w:cs="Calibri"/>
          <w:sz w:val="24"/>
          <w:szCs w:val="24"/>
        </w:rPr>
      </w:pPr>
      <w:r>
        <w:rPr>
          <w:rFonts w:ascii="Calibri" w:eastAsia="Calibri" w:hAnsi="Calibri" w:cs="Calibri"/>
          <w:sz w:val="24"/>
          <w:szCs w:val="24"/>
        </w:rPr>
        <w:t>Track campus and external resources and opportunities available to the Library</w:t>
      </w:r>
    </w:p>
    <w:p w14:paraId="00000048" w14:textId="77777777" w:rsidR="001C476F" w:rsidRDefault="008F5ECA">
      <w:pPr>
        <w:numPr>
          <w:ilvl w:val="0"/>
          <w:numId w:val="3"/>
        </w:numPr>
        <w:spacing w:after="240"/>
        <w:rPr>
          <w:rFonts w:ascii="Calibri" w:eastAsia="Calibri" w:hAnsi="Calibri" w:cs="Calibri"/>
          <w:sz w:val="24"/>
          <w:szCs w:val="24"/>
        </w:rPr>
      </w:pPr>
      <w:r>
        <w:rPr>
          <w:rFonts w:ascii="Calibri" w:eastAsia="Calibri" w:hAnsi="Calibri" w:cs="Calibri"/>
          <w:sz w:val="24"/>
          <w:szCs w:val="24"/>
        </w:rPr>
        <w:t>Review past efforts and archival information pertaining to DEIA and Library climate to better understand long standing issues and historical trends, and prior recommendations that may not have been implemented</w:t>
      </w:r>
    </w:p>
    <w:p w14:paraId="0000004B" w14:textId="39BD6C7F" w:rsidR="001C476F" w:rsidRDefault="001C476F">
      <w:pPr>
        <w:rPr>
          <w:rFonts w:ascii="Calibri" w:eastAsia="Calibri" w:hAnsi="Calibri" w:cs="Calibri"/>
          <w:sz w:val="24"/>
          <w:szCs w:val="24"/>
        </w:rPr>
      </w:pPr>
    </w:p>
    <w:sectPr w:rsidR="001C476F">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8F4E98" w14:textId="77777777" w:rsidR="0067647B" w:rsidRDefault="0067647B">
      <w:pPr>
        <w:spacing w:line="240" w:lineRule="auto"/>
      </w:pPr>
      <w:r>
        <w:separator/>
      </w:r>
    </w:p>
  </w:endnote>
  <w:endnote w:type="continuationSeparator" w:id="0">
    <w:p w14:paraId="280634D8" w14:textId="77777777" w:rsidR="0067647B" w:rsidRDefault="006764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2A4D37" w14:textId="77777777" w:rsidR="0067647B" w:rsidRDefault="0067647B">
      <w:pPr>
        <w:spacing w:line="240" w:lineRule="auto"/>
      </w:pPr>
      <w:r>
        <w:separator/>
      </w:r>
    </w:p>
  </w:footnote>
  <w:footnote w:type="continuationSeparator" w:id="0">
    <w:p w14:paraId="11D14DB2" w14:textId="77777777" w:rsidR="0067647B" w:rsidRDefault="0067647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4C" w14:textId="77777777" w:rsidR="001C476F" w:rsidRDefault="008F5ECA">
    <w:r>
      <w:t>7/30/2020</w:t>
    </w:r>
  </w:p>
  <w:p w14:paraId="0000004D" w14:textId="77777777" w:rsidR="001C476F" w:rsidRDefault="001C476F"/>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B76C88"/>
    <w:multiLevelType w:val="multilevel"/>
    <w:tmpl w:val="E0F812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6D002B7"/>
    <w:multiLevelType w:val="multilevel"/>
    <w:tmpl w:val="8550AD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D8F63CE"/>
    <w:multiLevelType w:val="multilevel"/>
    <w:tmpl w:val="5ABAFD7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52972455"/>
    <w:multiLevelType w:val="multilevel"/>
    <w:tmpl w:val="F2ECE58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76F"/>
    <w:rsid w:val="001C476F"/>
    <w:rsid w:val="0067647B"/>
    <w:rsid w:val="008F5ECA"/>
    <w:rsid w:val="00AA5E55"/>
    <w:rsid w:val="00E96E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FD98F"/>
  <w15:docId w15:val="{18053182-63FE-4794-AC5A-7453F2C40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2039</Words>
  <Characters>11625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Williams, Lucretia Anne</dc:creator>
  <cp:lastModifiedBy>Williams, Lucretia Anne</cp:lastModifiedBy>
  <cp:revision>2</cp:revision>
  <dcterms:created xsi:type="dcterms:W3CDTF">2020-10-27T15:34:00Z</dcterms:created>
  <dcterms:modified xsi:type="dcterms:W3CDTF">2020-10-27T15:34:00Z</dcterms:modified>
</cp:coreProperties>
</file>